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6CFD181B" w14:textId="77777777" w:rsidTr="00335A68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75317" w:themeFill="accent6" w:themeFillShade="80"/>
            <w:tcMar>
              <w:top w:w="350" w:type="dxa"/>
              <w:left w:w="300" w:type="dxa"/>
              <w:bottom w:w="350" w:type="dxa"/>
              <w:right w:w="300" w:type="dxa"/>
            </w:tcMar>
          </w:tcPr>
          <w:p w14:paraId="3A158770" w14:textId="63C49853" w:rsidR="00C1133E" w:rsidRDefault="00C1133E" w:rsidP="00E42F7C">
            <w:pPr>
              <w:tabs>
                <w:tab w:val="right" w:pos="9038"/>
              </w:tabs>
              <w:spacing w:after="60"/>
              <w:rPr>
                <w:color w:val="C8963E"/>
                <w:spacing w:val="2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F3FB8E6" wp14:editId="71FF9B01">
                  <wp:extent cx="2576286" cy="408442"/>
                  <wp:effectExtent l="0" t="0" r="0" b="0"/>
                  <wp:docPr id="140716001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372" cy="42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C8963E"/>
                <w:spacing w:val="200"/>
                <w:sz w:val="18"/>
                <w:szCs w:val="18"/>
              </w:rPr>
              <w:tab/>
            </w:r>
          </w:p>
          <w:p w14:paraId="1149BF53" w14:textId="77777777" w:rsidR="00C1133E" w:rsidRDefault="00C1133E">
            <w:pPr>
              <w:spacing w:after="60"/>
              <w:rPr>
                <w:color w:val="C8963E"/>
                <w:spacing w:val="200"/>
                <w:sz w:val="18"/>
                <w:szCs w:val="18"/>
              </w:rPr>
            </w:pPr>
          </w:p>
          <w:p w14:paraId="1439AD46" w14:textId="6777E182" w:rsidR="00E85C86" w:rsidRPr="00A952A6" w:rsidRDefault="001E06A8">
            <w:pPr>
              <w:spacing w:after="40"/>
              <w:rPr>
                <w:color w:val="BE9B64"/>
              </w:rPr>
            </w:pPr>
            <w:r>
              <w:rPr>
                <w:b/>
                <w:bCs/>
                <w:color w:val="BE9B64"/>
                <w:sz w:val="40"/>
                <w:szCs w:val="40"/>
              </w:rPr>
              <w:t>BOLETIM DE EXECUÇÃO ORÇAMENTAL - RAM</w:t>
            </w:r>
          </w:p>
          <w:p w14:paraId="03B90B8F" w14:textId="77777777" w:rsidR="00E85C86" w:rsidRDefault="004030DE">
            <w:r>
              <w:rPr>
                <w:color w:val="A0B4CC"/>
                <w:sz w:val="22"/>
                <w:szCs w:val="22"/>
              </w:rPr>
              <w:t>Resultados acumulados até abril de 2026</w:t>
            </w:r>
          </w:p>
        </w:tc>
      </w:tr>
    </w:tbl>
    <w:p w14:paraId="4492B5A0" w14:textId="77777777" w:rsidR="00E85C86" w:rsidRDefault="00E85C86">
      <w:pPr>
        <w:spacing w:after="25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E85C86" w:rsidRPr="000A706E" w14:paraId="17A94B9B" w14:textId="77777777"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0E4EA"/>
            </w:tcBorders>
            <w:shd w:val="clear" w:color="auto" w:fill="F2F4F7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4B4E91AB" w14:textId="77777777" w:rsidR="00E85C86" w:rsidRDefault="004030DE">
            <w:pPr>
              <w:spacing w:after="40"/>
              <w:jc w:val="center"/>
            </w:pPr>
            <w:r>
              <w:rPr>
                <w:b/>
                <w:bCs/>
                <w:color w:val="1B365D"/>
                <w:sz w:val="44"/>
                <w:szCs w:val="44"/>
              </w:rPr>
              <w:t>9,0</w:t>
            </w:r>
          </w:p>
          <w:p w14:paraId="20371F18" w14:textId="77777777" w:rsidR="00E85C86" w:rsidRDefault="004030DE">
            <w:pPr>
              <w:spacing w:after="20"/>
              <w:jc w:val="center"/>
            </w:pPr>
            <w:r>
              <w:rPr>
                <w:color w:val="4A5568"/>
                <w:sz w:val="18"/>
                <w:szCs w:val="18"/>
              </w:rPr>
              <w:t>milhões de euros</w:t>
            </w:r>
          </w:p>
          <w:p w14:paraId="7DB0AA9D" w14:textId="77777777" w:rsidR="00E85C86" w:rsidRDefault="004030DE">
            <w:pPr>
              <w:jc w:val="center"/>
            </w:pPr>
            <w:r>
              <w:rPr>
                <w:color w:val="4A5568"/>
                <w:sz w:val="16"/>
                <w:szCs w:val="16"/>
              </w:rPr>
              <w:t>Saldo global consolidado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4" w:space="0" w:color="E0E4EA"/>
            </w:tcBorders>
            <w:shd w:val="clear" w:color="auto" w:fill="F2F4F7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7D8E5380" w14:textId="77777777" w:rsidR="00E85C86" w:rsidRDefault="004030DE">
            <w:pPr>
              <w:spacing w:after="40"/>
              <w:jc w:val="center"/>
            </w:pPr>
            <w:r>
              <w:rPr>
                <w:b/>
                <w:bCs/>
                <w:color w:val="1B365D"/>
                <w:sz w:val="44"/>
                <w:szCs w:val="44"/>
              </w:rPr>
              <w:t>565,5</w:t>
            </w:r>
          </w:p>
          <w:p w14:paraId="5826491D" w14:textId="77777777" w:rsidR="00E85C86" w:rsidRDefault="004030DE">
            <w:pPr>
              <w:spacing w:after="20"/>
              <w:jc w:val="center"/>
            </w:pPr>
            <w:r>
              <w:rPr>
                <w:color w:val="4A5568"/>
                <w:sz w:val="18"/>
                <w:szCs w:val="18"/>
              </w:rPr>
              <w:t>milhões de euros</w:t>
            </w:r>
          </w:p>
          <w:p w14:paraId="4FCFC1DD" w14:textId="77777777" w:rsidR="00E85C86" w:rsidRDefault="004030DE">
            <w:pPr>
              <w:jc w:val="center"/>
            </w:pPr>
            <w:r>
              <w:rPr>
                <w:color w:val="4A5568"/>
                <w:sz w:val="16"/>
                <w:szCs w:val="16"/>
              </w:rPr>
              <w:t>Receita efetiva</w:t>
            </w:r>
          </w:p>
        </w:tc>
        <w:tc>
          <w:tcPr>
            <w:tcW w:w="321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4F7"/>
            <w:tcMar>
              <w:top w:w="200" w:type="dxa"/>
              <w:left w:w="200" w:type="dxa"/>
              <w:bottom w:w="200" w:type="dxa"/>
              <w:right w:w="200" w:type="dxa"/>
            </w:tcMar>
          </w:tcPr>
          <w:p w14:paraId="704D1D70" w14:textId="77777777" w:rsidR="00E85C86" w:rsidRDefault="004030DE">
            <w:pPr>
              <w:spacing w:after="40"/>
              <w:jc w:val="center"/>
            </w:pPr>
            <w:r>
              <w:rPr>
                <w:b/>
                <w:bCs/>
                <w:color w:val="1B365D"/>
                <w:sz w:val="44"/>
                <w:szCs w:val="44"/>
              </w:rPr>
              <w:t>556,5</w:t>
            </w:r>
          </w:p>
          <w:p w14:paraId="596F4FF1" w14:textId="77777777" w:rsidR="00E85C86" w:rsidRDefault="004030DE">
            <w:pPr>
              <w:spacing w:after="20"/>
              <w:jc w:val="center"/>
            </w:pPr>
            <w:r>
              <w:rPr>
                <w:color w:val="4A5568"/>
                <w:sz w:val="18"/>
                <w:szCs w:val="18"/>
              </w:rPr>
              <w:t>milhões de euros</w:t>
            </w:r>
          </w:p>
          <w:p w14:paraId="1E5AACF1" w14:textId="77777777" w:rsidR="00E85C86" w:rsidRDefault="004030DE">
            <w:pPr>
              <w:jc w:val="center"/>
            </w:pPr>
            <w:r>
              <w:rPr>
                <w:color w:val="4A5568"/>
                <w:sz w:val="16"/>
                <w:szCs w:val="16"/>
              </w:rPr>
              <w:t>Despesa efetiva</w:t>
            </w:r>
          </w:p>
        </w:tc>
      </w:tr>
    </w:tbl>
    <w:p w14:paraId="54C639AC" w14:textId="77777777" w:rsidR="00E85C86" w:rsidRDefault="00E85C86">
      <w:pPr>
        <w:spacing w:after="80"/>
      </w:pPr>
    </w:p>
    <w:p w14:paraId="539F5672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 xml:space="preserve">O Boletim de Execução Orçamental de abril de 2026 encontra-se disponível em </w:t>
      </w:r>
      <w:r>
        <w:rPr>
          <w:b/>
          <w:bCs/>
          <w:color w:val="2D3748"/>
        </w:rPr>
        <w:t>www.madeira.gov.pt/srf/</w:t>
      </w:r>
      <w:r>
        <w:rPr>
          <w:color w:val="2D3748"/>
        </w:rPr>
        <w:t>. Esta publicação mensal analisa a evolução das finanças públicas regionais, abrangendo o Governo Regional, os Serviços e Fundos Autónomos (SFA) e as Entidades Públicas Reclassificadas (EPR).</w:t>
      </w:r>
    </w:p>
    <w:p w14:paraId="22C440E3" w14:textId="77777777" w:rsidR="00E85C86" w:rsidRDefault="004030DE">
      <w:pPr>
        <w:pBdr>
          <w:left w:val="single" w:sz="18" w:space="8" w:color="C8963E"/>
        </w:pBdr>
        <w:spacing w:before="300" w:after="140"/>
        <w:ind w:left="120"/>
      </w:pPr>
      <w:r>
        <w:rPr>
          <w:b/>
          <w:bCs/>
          <w:color w:val="1B365D"/>
          <w:sz w:val="24"/>
          <w:szCs w:val="24"/>
        </w:rPr>
        <w:t>Resultado da Administração Pública Regional</w:t>
      </w:r>
    </w:p>
    <w:p w14:paraId="5DFA0666" w14:textId="1B39911B" w:rsidR="00E85C86" w:rsidRDefault="004030DE">
      <w:pPr>
        <w:spacing w:after="160" w:line="300" w:lineRule="auto"/>
        <w:jc w:val="both"/>
      </w:pPr>
      <w:r>
        <w:rPr>
          <w:color w:val="2D3748"/>
        </w:rPr>
        <w:t>No final de abril de 2026, as contas consolidadas da Administração Pública Regional apresentam um excedente de 9,0 milhões de euros. Trata-se, contudo, de um resultado significativamente inferior ao do mesmo período de 2025, quando o excedente atingiu 134,7 milhões de euros (-93,3%).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E85C86" w14:paraId="3BC1F9B8" w14:textId="77777777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D47143" w14:textId="77777777" w:rsidR="00E85C86" w:rsidRDefault="004030DE">
            <w:pPr>
              <w:spacing w:after="30"/>
            </w:pPr>
            <w:r>
              <w:rPr>
                <w:color w:val="4A5568"/>
                <w:sz w:val="17"/>
                <w:szCs w:val="17"/>
              </w:rPr>
              <w:t>Excedente abr. 2026</w:t>
            </w:r>
          </w:p>
          <w:p w14:paraId="0009FB00" w14:textId="77777777" w:rsidR="00E85C86" w:rsidRDefault="004030DE">
            <w:r>
              <w:rPr>
                <w:b/>
                <w:bCs/>
                <w:color w:val="1B365D"/>
                <w:sz w:val="28"/>
                <w:szCs w:val="28"/>
              </w:rPr>
              <w:t>9,0 M€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9EED272" w14:textId="77777777" w:rsidR="00E85C86" w:rsidRDefault="004030DE">
            <w:pPr>
              <w:spacing w:after="30"/>
            </w:pPr>
            <w:r>
              <w:rPr>
                <w:color w:val="4A5568"/>
                <w:sz w:val="17"/>
                <w:szCs w:val="17"/>
              </w:rPr>
              <w:t>Excedente abr. 2025</w:t>
            </w:r>
          </w:p>
          <w:p w14:paraId="7A0C0FAB" w14:textId="77777777" w:rsidR="00E85C86" w:rsidRDefault="004030DE">
            <w:r>
              <w:rPr>
                <w:b/>
                <w:bCs/>
                <w:color w:val="1B365D"/>
                <w:sz w:val="28"/>
                <w:szCs w:val="28"/>
              </w:rPr>
              <w:t>134,7 M€</w:t>
            </w:r>
          </w:p>
        </w:tc>
      </w:tr>
    </w:tbl>
    <w:p w14:paraId="1B95CD28" w14:textId="77777777" w:rsidR="00E85C86" w:rsidRDefault="00E85C86">
      <w:pPr>
        <w:spacing w:after="40"/>
      </w:pPr>
    </w:p>
    <w:p w14:paraId="5CEC2BAE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A composição entre subsetores alterou-se de forma significativa. O Governo Regional registou um saldo negativo de 12,5 milhões de euros, que compara com um excedente de 106,8 milhões em 2025 (-119,3 milhões). Em sentido inverso, os SFA e as EPR mantiveram-se positivos, com um excedente conjunto de 21,5 milhões de euros — dos quais 13,9 milhões respeitantes às EPR, embora com um agravamento de 7,3 milhões face a 2025.</w:t>
      </w:r>
    </w:p>
    <w:p w14:paraId="6B549C3B" w14:textId="0A8078E0" w:rsidR="00E85C86" w:rsidRDefault="004030DE">
      <w:pPr>
        <w:pBdr>
          <w:left w:val="single" w:sz="18" w:space="8" w:color="C8963E"/>
        </w:pBdr>
        <w:spacing w:before="300" w:after="140"/>
        <w:ind w:left="120"/>
      </w:pPr>
      <w:r>
        <w:rPr>
          <w:b/>
          <w:bCs/>
          <w:color w:val="1B365D"/>
          <w:sz w:val="24"/>
          <w:szCs w:val="24"/>
        </w:rPr>
        <w:t>Receita: impostos crescem, transferências da Administração Central caem</w:t>
      </w:r>
    </w:p>
    <w:p w14:paraId="27FA8476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A receita efetiva do Governo Regional totalizou 485,2 milhões de euros, uma queda de 11,2% (-61,3 milhões de euros) face a 2025. Este recuo resulta de duas dinâmicas opostas: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79166BCB" w14:textId="77777777">
        <w:tc>
          <w:tcPr>
            <w:tcW w:w="9638" w:type="dxa"/>
            <w:tcBorders>
              <w:top w:val="none" w:sz="0" w:space="0" w:color="FFFFFF"/>
              <w:left w:val="single" w:sz="12" w:space="0" w:color="C8963E"/>
              <w:bottom w:val="none" w:sz="0" w:space="0" w:color="FFFFFF"/>
              <w:right w:val="none" w:sz="0" w:space="0" w:color="FFFFFF"/>
            </w:tcBorders>
            <w:shd w:val="clear" w:color="auto" w:fill="EDF7EE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0B8749D" w14:textId="3588032B" w:rsidR="00E85C86" w:rsidRDefault="004030DE">
            <w:pPr>
              <w:spacing w:after="60"/>
            </w:pPr>
            <w:r>
              <w:rPr>
                <w:b/>
                <w:bCs/>
                <w:color w:val="1B6B3A"/>
                <w:sz w:val="20"/>
                <w:szCs w:val="20"/>
              </w:rPr>
              <w:t>Receita fiscal +</w:t>
            </w:r>
            <w:r>
              <w:rPr>
                <w:color w:val="1B6B3A"/>
                <w:sz w:val="20"/>
                <w:szCs w:val="20"/>
              </w:rPr>
              <w:t>5,2% (+17,3 M€)</w:t>
            </w:r>
          </w:p>
          <w:p w14:paraId="4F5E8B64" w14:textId="5790DE9F" w:rsidR="00E85C86" w:rsidRDefault="004030DE">
            <w:pPr>
              <w:spacing w:line="280" w:lineRule="auto"/>
            </w:pPr>
            <w:r>
              <w:rPr>
                <w:color w:val="4A5568"/>
                <w:sz w:val="18"/>
                <w:szCs w:val="18"/>
              </w:rPr>
              <w:t>IVA +6,8% (213,8 M€) · IRC +52,3% (12,0 M€) · IRS -1,6% (76,1 M€)</w:t>
            </w:r>
          </w:p>
        </w:tc>
      </w:tr>
    </w:tbl>
    <w:p w14:paraId="6C323D3C" w14:textId="77777777" w:rsidR="00E85C86" w:rsidRDefault="00E85C86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0C75151D" w14:textId="77777777">
        <w:tc>
          <w:tcPr>
            <w:tcW w:w="9638" w:type="dxa"/>
            <w:tcBorders>
              <w:top w:val="none" w:sz="0" w:space="0" w:color="FFFFFF"/>
              <w:left w:val="single" w:sz="12" w:space="0" w:color="C8963E"/>
              <w:bottom w:val="none" w:sz="0" w:space="0" w:color="FFFFFF"/>
              <w:right w:val="none" w:sz="0" w:space="0" w:color="FFFFFF"/>
            </w:tcBorders>
            <w:shd w:val="clear" w:color="auto" w:fill="FFF5F5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5E64159D" w14:textId="2C8E3E84" w:rsidR="00E85C86" w:rsidRDefault="004030DE">
            <w:pPr>
              <w:spacing w:after="60"/>
            </w:pPr>
            <w:r>
              <w:rPr>
                <w:b/>
                <w:bCs/>
                <w:color w:val="9B2C2C"/>
                <w:sz w:val="20"/>
                <w:szCs w:val="20"/>
              </w:rPr>
              <w:t>Receita não fiscal -</w:t>
            </w:r>
            <w:r>
              <w:rPr>
                <w:color w:val="9B2C2C"/>
                <w:sz w:val="20"/>
                <w:szCs w:val="20"/>
              </w:rPr>
              <w:t>36,8% (-78,6 M€)</w:t>
            </w:r>
          </w:p>
          <w:p w14:paraId="409E1AC0" w14:textId="6801294A" w:rsidR="00E85C86" w:rsidRDefault="004030DE">
            <w:pPr>
              <w:spacing w:line="280" w:lineRule="auto"/>
            </w:pPr>
            <w:r>
              <w:rPr>
                <w:color w:val="4A5568"/>
                <w:sz w:val="18"/>
                <w:szCs w:val="18"/>
              </w:rPr>
              <w:t>Receitas de capital -84,4% (-58,6 M€), por ausência da transferência ao abrigo do art.º 49.º da LFRA. Transferências correntes: -13,4 M€.</w:t>
            </w:r>
          </w:p>
        </w:tc>
      </w:tr>
    </w:tbl>
    <w:p w14:paraId="02B7B974" w14:textId="77777777" w:rsidR="00E85C86" w:rsidRDefault="00E85C86">
      <w:pPr>
        <w:spacing w:after="40"/>
      </w:pPr>
    </w:p>
    <w:p w14:paraId="5D52484B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O crescimento robusto dos impostos — em especial do IRC, impulsionado pelo incremento das notas de cobrança e pela ausência de reembolsos extraordinários — não foi suficiente para compensar a forte contração das transferências do Estado.</w:t>
      </w:r>
    </w:p>
    <w:p w14:paraId="38AC4515" w14:textId="0F99E5D6" w:rsidR="00E85C86" w:rsidRDefault="004030DE">
      <w:pPr>
        <w:pBdr>
          <w:left w:val="single" w:sz="18" w:space="8" w:color="C8963E"/>
        </w:pBdr>
        <w:spacing w:before="300" w:after="140"/>
        <w:ind w:left="120"/>
      </w:pPr>
      <w:r>
        <w:rPr>
          <w:b/>
          <w:bCs/>
          <w:color w:val="1B365D"/>
          <w:sz w:val="24"/>
          <w:szCs w:val="24"/>
        </w:rPr>
        <w:lastRenderedPageBreak/>
        <w:t>Despesa: aumento de 13,2%, alavancado por transferências, pessoal e bens e serviços</w:t>
      </w:r>
    </w:p>
    <w:p w14:paraId="43E30D52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A despesa efetiva do Governo Regional situou-se em 497,7 milhões de euros, mais 13,2% do que em 2025 (+58,1 milhões), correspondendo a uma execução orçamental de 23,3%.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4A9DEDAE" w14:textId="77777777">
        <w:tc>
          <w:tcPr>
            <w:tcW w:w="9638" w:type="dxa"/>
            <w:tcBorders>
              <w:top w:val="none" w:sz="0" w:space="0" w:color="FFFFFF"/>
              <w:left w:val="single" w:sz="12" w:space="0" w:color="C8963E"/>
              <w:bottom w:val="none" w:sz="0" w:space="0" w:color="FFFFFF"/>
              <w:right w:val="none" w:sz="0" w:space="0" w:color="FFFFFF"/>
            </w:tcBorders>
            <w:shd w:val="clear" w:color="auto" w:fill="FFF8ED"/>
            <w:tcMar>
              <w:top w:w="120" w:type="dxa"/>
              <w:left w:w="240" w:type="dxa"/>
              <w:bottom w:w="120" w:type="dxa"/>
              <w:right w:w="240" w:type="dxa"/>
            </w:tcMar>
          </w:tcPr>
          <w:p w14:paraId="7882E2B2" w14:textId="77777777" w:rsidR="00E85C86" w:rsidRDefault="004030DE">
            <w:pPr>
              <w:spacing w:after="80"/>
            </w:pPr>
            <w:r>
              <w:rPr>
                <w:b/>
                <w:bCs/>
                <w:color w:val="1B365D"/>
                <w:sz w:val="19"/>
                <w:szCs w:val="19"/>
              </w:rPr>
              <w:t>Principais variações da despesa:</w:t>
            </w:r>
          </w:p>
          <w:p w14:paraId="503FB3AF" w14:textId="77777777" w:rsidR="00E85C86" w:rsidRDefault="004030DE">
            <w:pPr>
              <w:spacing w:after="40" w:line="280" w:lineRule="auto"/>
            </w:pPr>
            <w:r>
              <w:rPr>
                <w:color w:val="4A5568"/>
                <w:sz w:val="18"/>
                <w:szCs w:val="18"/>
              </w:rPr>
              <w:t>Aquisição de bens e serviços correntes: +30,8% (+16,3 M€)</w:t>
            </w:r>
          </w:p>
          <w:p w14:paraId="36DD2581" w14:textId="77777777" w:rsidR="00E85C86" w:rsidRDefault="004030DE">
            <w:pPr>
              <w:spacing w:after="40" w:line="280" w:lineRule="auto"/>
            </w:pPr>
            <w:r>
              <w:rPr>
                <w:color w:val="4A5568"/>
                <w:sz w:val="18"/>
                <w:szCs w:val="18"/>
              </w:rPr>
              <w:t>Despesas com o pessoal: +6,2% (+8,7 M€), reflexo das atualizações salariais</w:t>
            </w:r>
          </w:p>
          <w:p w14:paraId="5CF4930A" w14:textId="77777777" w:rsidR="00E85C86" w:rsidRDefault="004030DE">
            <w:pPr>
              <w:spacing w:after="40" w:line="280" w:lineRule="auto"/>
            </w:pPr>
            <w:r>
              <w:rPr>
                <w:color w:val="4A5568"/>
                <w:sz w:val="18"/>
                <w:szCs w:val="18"/>
              </w:rPr>
              <w:t>Transferências correntes: +18,5% (+35,3 M€)</w:t>
            </w:r>
          </w:p>
          <w:p w14:paraId="2DB9C3EC" w14:textId="77777777" w:rsidR="00E85C86" w:rsidRDefault="004030DE">
            <w:pPr>
              <w:spacing w:line="280" w:lineRule="auto"/>
            </w:pPr>
            <w:r>
              <w:rPr>
                <w:color w:val="4A5568"/>
                <w:sz w:val="18"/>
                <w:szCs w:val="18"/>
              </w:rPr>
              <w:t>Juros e outros encargos: -2,1% (-0,5 M€)</w:t>
            </w:r>
          </w:p>
        </w:tc>
      </w:tr>
    </w:tbl>
    <w:p w14:paraId="27B407DA" w14:textId="77777777" w:rsidR="00E85C86" w:rsidRDefault="00E85C86">
      <w:pPr>
        <w:spacing w:after="40"/>
      </w:pPr>
    </w:p>
    <w:p w14:paraId="409DEF4A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Por áreas de intervenção, a Saúde e a Educação representaram, em conjunto, 62,5% da despesa, seguindo-se os Assuntos económicos (16,4%) e os Serviços gerais das administrações públicas (12,9%).</w:t>
      </w:r>
    </w:p>
    <w:p w14:paraId="05F1D376" w14:textId="77777777" w:rsidR="00E85C86" w:rsidRDefault="004030DE">
      <w:pPr>
        <w:pBdr>
          <w:left w:val="single" w:sz="18" w:space="8" w:color="C8963E"/>
        </w:pBdr>
        <w:spacing w:before="300" w:after="140"/>
        <w:ind w:left="120"/>
      </w:pPr>
      <w:r>
        <w:rPr>
          <w:b/>
          <w:bCs/>
          <w:color w:val="1B365D"/>
          <w:sz w:val="24"/>
          <w:szCs w:val="24"/>
        </w:rPr>
        <w:t>Dívida não financeira</w:t>
      </w:r>
    </w:p>
    <w:p w14:paraId="294A06B9" w14:textId="77777777" w:rsidR="00E85C86" w:rsidRDefault="004030DE">
      <w:pPr>
        <w:spacing w:after="160" w:line="300" w:lineRule="auto"/>
        <w:jc w:val="both"/>
      </w:pPr>
      <w:r>
        <w:rPr>
          <w:color w:val="2D3748"/>
        </w:rPr>
        <w:t>O passivo acumulado ascendia, no final de abril, a 220,0 milhões de euros — um acréscimo de 32,1 milhões face ao período homólogo. Os pagamentos em atraso fixaram-se em 63,8 milhões de euros, registando uma variação de +3,9 milhões.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85C86" w14:paraId="5C053338" w14:textId="77777777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4F7"/>
            <w:tcMar>
              <w:top w:w="180" w:type="dxa"/>
              <w:left w:w="300" w:type="dxa"/>
              <w:bottom w:w="180" w:type="dxa"/>
              <w:right w:w="300" w:type="dxa"/>
            </w:tcMar>
          </w:tcPr>
          <w:p w14:paraId="17F0AB2B" w14:textId="77777777" w:rsidR="00E85C86" w:rsidRDefault="004030DE">
            <w:pPr>
              <w:spacing w:after="60"/>
              <w:jc w:val="center"/>
            </w:pPr>
            <w:r>
              <w:rPr>
                <w:b/>
                <w:bCs/>
                <w:color w:val="1B365D"/>
                <w:sz w:val="18"/>
                <w:szCs w:val="18"/>
              </w:rPr>
              <w:t>Redução acumulada desde 2012 (mesmo universo de entidades)</w:t>
            </w:r>
          </w:p>
          <w:p w14:paraId="06E360CC" w14:textId="77777777" w:rsidR="00E85C86" w:rsidRDefault="004030DE">
            <w:pPr>
              <w:jc w:val="center"/>
            </w:pPr>
            <w:r>
              <w:rPr>
                <w:color w:val="4A5568"/>
                <w:sz w:val="20"/>
                <w:szCs w:val="20"/>
              </w:rPr>
              <w:t xml:space="preserve">Passivos: </w:t>
            </w:r>
            <w:r>
              <w:rPr>
                <w:b/>
                <w:bCs/>
                <w:color w:val="1B365D"/>
                <w:sz w:val="26"/>
                <w:szCs w:val="26"/>
              </w:rPr>
              <w:t>-2 520,9 M€</w:t>
            </w:r>
            <w:r>
              <w:rPr>
                <w:color w:val="4A5568"/>
                <w:sz w:val="20"/>
                <w:szCs w:val="20"/>
              </w:rPr>
              <w:t xml:space="preserve">     Pagamentos em atraso: </w:t>
            </w:r>
            <w:r>
              <w:rPr>
                <w:b/>
                <w:bCs/>
                <w:color w:val="1B365D"/>
                <w:sz w:val="26"/>
                <w:szCs w:val="26"/>
              </w:rPr>
              <w:t>-1 080,3 M€</w:t>
            </w:r>
          </w:p>
        </w:tc>
      </w:tr>
    </w:tbl>
    <w:p w14:paraId="4E8AE5A0" w14:textId="77777777" w:rsidR="00E85C86" w:rsidRDefault="00E85C86">
      <w:pPr>
        <w:spacing w:after="300"/>
      </w:pPr>
    </w:p>
    <w:p w14:paraId="419815C0" w14:textId="77777777" w:rsidR="00E85C86" w:rsidRDefault="00E85C86">
      <w:pPr>
        <w:pBdr>
          <w:bottom w:val="single" w:sz="6" w:space="4" w:color="C8963E"/>
        </w:pBdr>
        <w:spacing w:after="200"/>
      </w:pPr>
    </w:p>
    <w:p w14:paraId="02872C70" w14:textId="77777777" w:rsidR="00E85C86" w:rsidRPr="00E77441" w:rsidRDefault="004030DE">
      <w:pPr>
        <w:rPr>
          <w:u w:val="single"/>
        </w:rPr>
      </w:pPr>
      <w:r>
        <w:rPr>
          <w:color w:val="4A5568"/>
          <w:sz w:val="20"/>
          <w:szCs w:val="20"/>
        </w:rPr>
        <w:t>Secretaria Regional das Finanças, 31 de maio de 2026.</w:t>
      </w:r>
    </w:p>
    <w:sectPr w:rsidR="00E85C86" w:rsidRPr="00E77441">
      <w:headerReference w:type="default" r:id="rId8"/>
      <w:footerReference w:type="default" r:id="rId9"/>
      <w:pgSz w:w="11906" w:h="16838"/>
      <w:pgMar w:top="850" w:right="1134" w:bottom="85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48C97" w14:textId="77777777" w:rsidR="00EE0A7F" w:rsidRDefault="00EE0A7F">
      <w:r>
        <w:separator/>
      </w:r>
    </w:p>
  </w:endnote>
  <w:endnote w:type="continuationSeparator" w:id="0">
    <w:p w14:paraId="6773A6CC" w14:textId="77777777" w:rsidR="00EE0A7F" w:rsidRDefault="00EE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2190" w14:textId="77777777" w:rsidR="00E85C86" w:rsidRDefault="004030DE">
    <w:pPr>
      <w:pBdr>
        <w:top w:val="single" w:sz="2" w:space="6" w:color="E0E4EA"/>
      </w:pBdr>
      <w:tabs>
        <w:tab w:val="right" w:pos="9026"/>
      </w:tabs>
    </w:pPr>
    <w:r>
      <w:rPr>
        <w:color w:val="4A5568"/>
        <w:sz w:val="15"/>
        <w:szCs w:val="15"/>
      </w:rPr>
      <w:t>Secretaria Regional das Finanças</w:t>
    </w:r>
    <w:r>
      <w:tab/>
    </w:r>
    <w:r>
      <w:rPr>
        <w:color w:val="4A5568"/>
        <w:sz w:val="15"/>
        <w:szCs w:val="15"/>
      </w:rPr>
      <w:t>www.madeira.gov.pt/srf/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DE87" w14:textId="77777777" w:rsidR="00EE0A7F" w:rsidRDefault="00EE0A7F">
      <w:r>
        <w:separator/>
      </w:r>
    </w:p>
  </w:footnote>
  <w:footnote w:type="continuationSeparator" w:id="0">
    <w:p w14:paraId="5EA907D5" w14:textId="77777777" w:rsidR="00EE0A7F" w:rsidRDefault="00EE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C705" w14:textId="77777777" w:rsidR="00E85C86" w:rsidRPr="007E1176" w:rsidRDefault="004030DE">
    <w:pPr>
      <w:jc w:val="right"/>
      <w:rPr>
        <w:sz w:val="20"/>
        <w:szCs w:val="20"/>
      </w:rPr>
    </w:pPr>
    <w:r w:rsidRPr="007E1176">
      <w:rPr>
        <w:color w:val="4A5568"/>
        <w:spacing w:val="120"/>
        <w:sz w:val="20"/>
        <w:szCs w:val="20"/>
      </w:rPr>
      <w:t>NOTA DE IMPRENSA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20B25"/>
    <w:multiLevelType w:val="hybridMultilevel"/>
    <w:tmpl w:val="B66CDB96"/>
    <w:lvl w:ilvl="0" w:tplc="C3D6822E">
      <w:start w:val="1"/>
      <w:numFmt w:val="bullet"/>
      <w:lvlText w:val="●"/>
      <w:lvlJc w:val="left"/>
      <w:pPr>
        <w:ind w:left="720" w:hanging="360"/>
      </w:pPr>
    </w:lvl>
    <w:lvl w:ilvl="1" w:tplc="81643BE4">
      <w:start w:val="1"/>
      <w:numFmt w:val="bullet"/>
      <w:lvlText w:val="○"/>
      <w:lvlJc w:val="left"/>
      <w:pPr>
        <w:ind w:left="1440" w:hanging="360"/>
      </w:pPr>
    </w:lvl>
    <w:lvl w:ilvl="2" w:tplc="064607F8">
      <w:start w:val="1"/>
      <w:numFmt w:val="bullet"/>
      <w:lvlText w:val="■"/>
      <w:lvlJc w:val="left"/>
      <w:pPr>
        <w:ind w:left="2160" w:hanging="360"/>
      </w:pPr>
    </w:lvl>
    <w:lvl w:ilvl="3" w:tplc="F2D8CEA4">
      <w:start w:val="1"/>
      <w:numFmt w:val="bullet"/>
      <w:lvlText w:val="●"/>
      <w:lvlJc w:val="left"/>
      <w:pPr>
        <w:ind w:left="2880" w:hanging="360"/>
      </w:pPr>
    </w:lvl>
    <w:lvl w:ilvl="4" w:tplc="01A682AE">
      <w:start w:val="1"/>
      <w:numFmt w:val="bullet"/>
      <w:lvlText w:val="○"/>
      <w:lvlJc w:val="left"/>
      <w:pPr>
        <w:ind w:left="3600" w:hanging="360"/>
      </w:pPr>
    </w:lvl>
    <w:lvl w:ilvl="5" w:tplc="AC943EE4">
      <w:start w:val="1"/>
      <w:numFmt w:val="bullet"/>
      <w:lvlText w:val="■"/>
      <w:lvlJc w:val="left"/>
      <w:pPr>
        <w:ind w:left="4320" w:hanging="360"/>
      </w:pPr>
    </w:lvl>
    <w:lvl w:ilvl="6" w:tplc="2548922E">
      <w:start w:val="1"/>
      <w:numFmt w:val="bullet"/>
      <w:lvlText w:val="●"/>
      <w:lvlJc w:val="left"/>
      <w:pPr>
        <w:ind w:left="5040" w:hanging="360"/>
      </w:pPr>
    </w:lvl>
    <w:lvl w:ilvl="7" w:tplc="6460407E">
      <w:start w:val="1"/>
      <w:numFmt w:val="bullet"/>
      <w:lvlText w:val="●"/>
      <w:lvlJc w:val="left"/>
      <w:pPr>
        <w:ind w:left="5760" w:hanging="360"/>
      </w:pPr>
    </w:lvl>
    <w:lvl w:ilvl="8" w:tplc="9DC6434A">
      <w:start w:val="1"/>
      <w:numFmt w:val="bullet"/>
      <w:lvlText w:val="●"/>
      <w:lvlJc w:val="left"/>
      <w:pPr>
        <w:ind w:left="6480" w:hanging="360"/>
      </w:pPr>
    </w:lvl>
  </w:abstractNum>
  <w:num w:numId="1" w16cid:durableId="18688370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C86"/>
    <w:rsid w:val="000A706E"/>
    <w:rsid w:val="000B4CB2"/>
    <w:rsid w:val="0014387A"/>
    <w:rsid w:val="001B1AF5"/>
    <w:rsid w:val="001E06A8"/>
    <w:rsid w:val="002234EA"/>
    <w:rsid w:val="002D6F08"/>
    <w:rsid w:val="00335A68"/>
    <w:rsid w:val="003D2C87"/>
    <w:rsid w:val="004030DE"/>
    <w:rsid w:val="00497B34"/>
    <w:rsid w:val="004A7BBA"/>
    <w:rsid w:val="004D3459"/>
    <w:rsid w:val="007C0706"/>
    <w:rsid w:val="007C2B85"/>
    <w:rsid w:val="007E1176"/>
    <w:rsid w:val="007E7DA6"/>
    <w:rsid w:val="00833F88"/>
    <w:rsid w:val="00893AC8"/>
    <w:rsid w:val="00997B1D"/>
    <w:rsid w:val="00A52421"/>
    <w:rsid w:val="00A952A6"/>
    <w:rsid w:val="00C1133E"/>
    <w:rsid w:val="00C64DE5"/>
    <w:rsid w:val="00DD4E59"/>
    <w:rsid w:val="00E31D95"/>
    <w:rsid w:val="00E42F7C"/>
    <w:rsid w:val="00E63EBC"/>
    <w:rsid w:val="00E77441"/>
    <w:rsid w:val="00E85C86"/>
    <w:rsid w:val="00EB67BD"/>
    <w:rsid w:val="00EC0C7E"/>
    <w:rsid w:val="00E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6372"/>
  <w15:docId w15:val="{8656DA5F-225E-4DD3-B248-ED885E6D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iperligao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arter"/>
    <w:uiPriority w:val="99"/>
    <w:semiHidden/>
    <w:unhideWhenUsed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unhideWhenUsed/>
    <w:rPr>
      <w:sz w:val="20"/>
      <w:szCs w:val="20"/>
    </w:rPr>
  </w:style>
  <w:style w:type="paragraph" w:styleId="Reviso">
    <w:name w:val="Revision"/>
    <w:hidden/>
    <w:uiPriority w:val="99"/>
    <w:semiHidden/>
    <w:rsid w:val="00E63EBC"/>
  </w:style>
  <w:style w:type="character" w:styleId="Refdecomentrio">
    <w:name w:val="annotation reference"/>
    <w:basedOn w:val="Tipodeletrapredefinidodopargrafo"/>
    <w:uiPriority w:val="99"/>
    <w:semiHidden/>
    <w:unhideWhenUsed/>
    <w:rsid w:val="000B4CB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0B4CB2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0B4CB2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B4CB2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B4CB2"/>
    <w:rPr>
      <w:b/>
      <w:bCs/>
      <w:sz w:val="20"/>
      <w:szCs w:val="20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97B3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7E117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E1176"/>
  </w:style>
  <w:style w:type="paragraph" w:styleId="Rodap">
    <w:name w:val="footer"/>
    <w:basedOn w:val="Normal"/>
    <w:link w:val="RodapCarter"/>
    <w:uiPriority w:val="99"/>
    <w:unhideWhenUsed/>
    <w:rsid w:val="007E117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E1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Tania Fernandes</cp:lastModifiedBy>
  <cp:revision>2</cp:revision>
  <dcterms:created xsi:type="dcterms:W3CDTF">2026-05-25T15:47:00Z</dcterms:created>
  <dcterms:modified xsi:type="dcterms:W3CDTF">2026-05-25T15:47:00Z</dcterms:modified>
</cp:coreProperties>
</file>