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85C86" w14:paraId="6CFD181B" w14:textId="77777777" w:rsidTr="00335A68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75317" w:themeFill="accent6" w:themeFillShade="80"/>
            <w:tcMar>
              <w:top w:w="350" w:type="dxa"/>
              <w:left w:w="300" w:type="dxa"/>
              <w:bottom w:w="350" w:type="dxa"/>
              <w:right w:w="300" w:type="dxa"/>
            </w:tcMar>
          </w:tcPr>
          <w:p w14:paraId="3A158770" w14:textId="63C49853" w:rsidR="00C1133E" w:rsidRDefault="00C1133E" w:rsidP="00E42F7C">
            <w:pPr>
              <w:tabs>
                <w:tab w:val="right" w:pos="9038"/>
              </w:tabs>
              <w:spacing w:after="60"/>
              <w:rPr>
                <w:color w:val="C8963E"/>
                <w:spacing w:val="2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F3FB8E6" wp14:editId="0D32D0CC">
                  <wp:extent cx="2576286" cy="408442"/>
                  <wp:effectExtent l="0" t="0" r="0" b="0"/>
                  <wp:docPr id="14071600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372" cy="4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C8963E"/>
                <w:spacing w:val="200"/>
                <w:sz w:val="18"/>
                <w:szCs w:val="18"/>
              </w:rPr>
              <w:tab/>
            </w:r>
          </w:p>
          <w:p w14:paraId="1149BF53" w14:textId="77777777" w:rsidR="00C1133E" w:rsidRDefault="00C1133E">
            <w:pPr>
              <w:spacing w:after="60"/>
              <w:rPr>
                <w:color w:val="C8963E"/>
                <w:spacing w:val="200"/>
                <w:sz w:val="18"/>
                <w:szCs w:val="18"/>
              </w:rPr>
            </w:pPr>
          </w:p>
          <w:p w14:paraId="1439AD46" w14:textId="6777E182" w:rsidR="00E85C86" w:rsidRPr="00A952A6" w:rsidRDefault="001E06A8">
            <w:pPr>
              <w:spacing w:after="40"/>
              <w:rPr>
                <w:color w:val="BE9B64"/>
              </w:rPr>
            </w:pPr>
            <w:r>
              <w:rPr>
                <w:b/>
                <w:bCs/>
                <w:color w:val="BE9B64"/>
                <w:sz w:val="40"/>
                <w:szCs w:val="40"/>
              </w:rPr>
              <w:t>BOLETIM DE EXECUÇÃO ORÇAMENTAL - RAM</w:t>
            </w:r>
          </w:p>
          <w:p w14:paraId="03B90B8F" w14:textId="77777777" w:rsidR="00E85C86" w:rsidRDefault="004030DE">
            <w:r>
              <w:rPr>
                <w:color w:val="A0B4CC"/>
                <w:sz w:val="22"/>
                <w:szCs w:val="22"/>
              </w:rPr>
              <w:t>Resultados acumulados até agosto de 2026</w:t>
            </w:r>
          </w:p>
        </w:tc>
      </w:tr>
    </w:tbl>
    <w:p w14:paraId="4492B5A0" w14:textId="77777777" w:rsidR="00E85C86" w:rsidRDefault="00E85C86">
      <w:pPr>
        <w:spacing w:after="2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E85C86" w:rsidRPr="000A706E" w14:paraId="17A94B9B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0E4EA"/>
            </w:tcBorders>
            <w:shd w:val="clear" w:color="auto" w:fill="F2F4F7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4B4E91AB" w14:textId="77777777" w:rsidR="00E85C86" w:rsidRDefault="004030DE">
            <w:pPr>
              <w:spacing w:after="40"/>
              <w:jc w:val="center"/>
            </w:pPr>
            <w:r>
              <w:rPr>
                <w:b/>
                <w:bCs/>
                <w:color w:val="1B365D"/>
                <w:sz w:val="44"/>
                <w:szCs w:val="44"/>
              </w:rPr>
              <w:t>46,2</w:t>
            </w:r>
          </w:p>
          <w:p w14:paraId="20371F18" w14:textId="77777777" w:rsidR="00E85C86" w:rsidRDefault="004030DE">
            <w:pPr>
              <w:spacing w:after="20"/>
              <w:jc w:val="center"/>
            </w:pPr>
            <w:r>
              <w:rPr>
                <w:color w:val="4A5568"/>
                <w:sz w:val="18"/>
                <w:szCs w:val="18"/>
              </w:rPr>
              <w:t>milhões de euros</w:t>
            </w:r>
          </w:p>
          <w:p w14:paraId="7DB0AA9D" w14:textId="77777777" w:rsidR="00E85C86" w:rsidRDefault="004030DE">
            <w:pPr>
              <w:jc w:val="center"/>
            </w:pPr>
            <w:r>
              <w:rPr>
                <w:color w:val="4A5568"/>
                <w:sz w:val="16"/>
                <w:szCs w:val="16"/>
              </w:rPr>
              <w:t>Saldo global consolidado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0E4EA"/>
            </w:tcBorders>
            <w:shd w:val="clear" w:color="auto" w:fill="F2F4F7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7D8E5380" w14:textId="77777777" w:rsidR="00E85C86" w:rsidRDefault="004030DE">
            <w:pPr>
              <w:spacing w:after="40"/>
              <w:jc w:val="center"/>
            </w:pPr>
            <w:r>
              <w:rPr>
                <w:b/>
                <w:bCs/>
                <w:color w:val="1B365D"/>
                <w:sz w:val="44"/>
                <w:szCs w:val="44"/>
              </w:rPr>
              <w:t>1 324,3</w:t>
            </w:r>
          </w:p>
          <w:p w14:paraId="5826491D" w14:textId="77777777" w:rsidR="00E85C86" w:rsidRDefault="004030DE">
            <w:pPr>
              <w:spacing w:after="20"/>
              <w:jc w:val="center"/>
            </w:pPr>
            <w:r>
              <w:rPr>
                <w:color w:val="4A5568"/>
                <w:sz w:val="18"/>
                <w:szCs w:val="18"/>
              </w:rPr>
              <w:t>milhões de euros</w:t>
            </w:r>
          </w:p>
          <w:p w14:paraId="4FCFC1DD" w14:textId="77777777" w:rsidR="00E85C86" w:rsidRDefault="004030DE">
            <w:pPr>
              <w:jc w:val="center"/>
            </w:pPr>
            <w:r>
              <w:rPr>
                <w:color w:val="4A5568"/>
                <w:sz w:val="16"/>
                <w:szCs w:val="16"/>
              </w:rPr>
              <w:t>Receita efetiva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704D1D70" w14:textId="77777777" w:rsidR="00E85C86" w:rsidRDefault="004030DE">
            <w:pPr>
              <w:spacing w:after="40"/>
              <w:jc w:val="center"/>
            </w:pPr>
            <w:r>
              <w:rPr>
                <w:b/>
                <w:bCs/>
                <w:color w:val="1B365D"/>
                <w:sz w:val="44"/>
                <w:szCs w:val="44"/>
              </w:rPr>
              <w:t>1 278,1</w:t>
            </w:r>
          </w:p>
          <w:p w14:paraId="596F4FF1" w14:textId="77777777" w:rsidR="00E85C86" w:rsidRDefault="004030DE">
            <w:pPr>
              <w:spacing w:after="20"/>
              <w:jc w:val="center"/>
            </w:pPr>
            <w:r>
              <w:rPr>
                <w:color w:val="4A5568"/>
                <w:sz w:val="18"/>
                <w:szCs w:val="18"/>
              </w:rPr>
              <w:t>milhões de euros</w:t>
            </w:r>
          </w:p>
          <w:p w14:paraId="1E5AACF1" w14:textId="77777777" w:rsidR="00E85C86" w:rsidRDefault="004030DE">
            <w:pPr>
              <w:jc w:val="center"/>
            </w:pPr>
            <w:r>
              <w:rPr>
                <w:color w:val="4A5568"/>
                <w:sz w:val="16"/>
                <w:szCs w:val="16"/>
              </w:rPr>
              <w:t>Despesa efetiva</w:t>
            </w:r>
          </w:p>
        </w:tc>
      </w:tr>
    </w:tbl>
    <w:p w14:paraId="54C639AC" w14:textId="77777777" w:rsidR="00E85C86" w:rsidRDefault="00E85C86">
      <w:pPr>
        <w:spacing w:after="80"/>
      </w:pPr>
    </w:p>
    <w:p w14:paraId="539F5672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 xml:space="preserve">O Boletim de Execução Orçamental de agosto de 2026 encontra-se disponível em </w:t>
      </w:r>
      <w:r>
        <w:rPr>
          <w:b/>
          <w:bCs/>
          <w:color w:val="2D3748"/>
        </w:rPr>
        <w:t>www.madeira.gov.pt/srf/</w:t>
      </w:r>
      <w:r>
        <w:rPr>
          <w:color w:val="2D3748"/>
        </w:rPr>
        <w:t>. Esta publicação mensal analisa a evolução das finanças públicas regionais, abrangendo o Governo Regional, os Serviços e Fundos Autónomos (SFA) e as Entidades Públicas Reclassificadas (EPR).</w:t>
      </w:r>
    </w:p>
    <w:p w14:paraId="22C440E3" w14:textId="77777777" w:rsidR="00E85C86" w:rsidRDefault="004030DE">
      <w:pPr>
        <w:pBdr>
          <w:left w:val="single" w:sz="18" w:space="8" w:color="C8963E"/>
        </w:pBdr>
        <w:spacing w:before="300" w:after="140"/>
        <w:ind w:left="120"/>
      </w:pPr>
      <w:r>
        <w:rPr>
          <w:b/>
          <w:bCs/>
          <w:color w:val="1B365D"/>
          <w:sz w:val="24"/>
          <w:szCs w:val="24"/>
        </w:rPr>
        <w:t>Resultado da Administração Pública Regional</w:t>
      </w:r>
    </w:p>
    <w:p w14:paraId="5DFA0666" w14:textId="1B39911B" w:rsidR="00E85C86" w:rsidRDefault="004030DE">
      <w:pPr>
        <w:spacing w:after="160" w:line="300" w:lineRule="auto"/>
        <w:jc w:val="both"/>
      </w:pPr>
      <w:r>
        <w:rPr>
          <w:color w:val="2D3748"/>
        </w:rPr>
        <w:t>No final de agosto de 2026, as contas consolidadas da Administração Pública Regional apresentam um excedente de 46,2 milhões de euros. O resultado compara com o excedente de 115,4 milhões de euros apurado no mesmo período de 2025, traduzindo uma variação homóloga de -60,0%. O saldo primário consolidado ascende a 129,5 milhões de euros.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85C86" w14:paraId="3BC1F9B8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D47143" w14:textId="77777777" w:rsidR="00E85C86" w:rsidRDefault="004030DE">
            <w:pPr>
              <w:spacing w:after="30"/>
            </w:pPr>
            <w:r>
              <w:rPr>
                <w:color w:val="4A5568"/>
                <w:sz w:val="17"/>
                <w:szCs w:val="17"/>
              </w:rPr>
              <w:t>Excedente ago. 2026</w:t>
            </w:r>
          </w:p>
          <w:p w14:paraId="0009FB00" w14:textId="77777777" w:rsidR="00E85C86" w:rsidRDefault="004030DE">
            <w:r>
              <w:rPr>
                <w:b/>
                <w:bCs/>
                <w:color w:val="1B365D"/>
                <w:sz w:val="28"/>
                <w:szCs w:val="28"/>
              </w:rPr>
              <w:t>46,2 M€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EED272" w14:textId="77777777" w:rsidR="00E85C86" w:rsidRDefault="004030DE">
            <w:pPr>
              <w:spacing w:after="30"/>
            </w:pPr>
            <w:r>
              <w:rPr>
                <w:color w:val="4A5568"/>
                <w:sz w:val="17"/>
                <w:szCs w:val="17"/>
              </w:rPr>
              <w:t>Excedente ago. 2025</w:t>
            </w:r>
          </w:p>
          <w:p w14:paraId="7A0C0FAB" w14:textId="77777777" w:rsidR="00E85C86" w:rsidRDefault="004030DE">
            <w:r>
              <w:rPr>
                <w:b/>
                <w:bCs/>
                <w:color w:val="1B365D"/>
                <w:sz w:val="28"/>
                <w:szCs w:val="28"/>
              </w:rPr>
              <w:t>115,4 M€</w:t>
            </w:r>
          </w:p>
        </w:tc>
      </w:tr>
    </w:tbl>
    <w:p w14:paraId="1B95CD28" w14:textId="77777777" w:rsidR="00E85C86" w:rsidRDefault="00E85C86">
      <w:pPr>
        <w:spacing w:after="40"/>
      </w:pPr>
    </w:p>
    <w:p w14:paraId="5CEC2BAE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>A redução do excedente é determinada pelo subsetor do Governo Regional, cujo saldo global recuou para 13,0 milhões de euros, face a 119,9 milhões em 2025 (-106,9 milhões), em resultado do forte crescimento da despesa. Os SFA e as EPR reforçaram o contributo positivo, com um excedente conjunto de 33,1 milhões de euros, dos quais 15,3 milhões dos SFA e 17,8 milhões das EPR, estas últimas com uma melhoria de 44,5 milhões face a 2025.</w:t>
      </w:r>
    </w:p>
    <w:p w14:paraId="6B549C3B" w14:textId="0A8078E0" w:rsidR="00E85C86" w:rsidRDefault="004030DE">
      <w:pPr>
        <w:pBdr>
          <w:left w:val="single" w:sz="18" w:space="8" w:color="C8963E"/>
        </w:pBdr>
        <w:spacing w:before="300" w:after="140"/>
        <w:ind w:left="120"/>
      </w:pPr>
      <w:r>
        <w:rPr>
          <w:b/>
          <w:bCs/>
          <w:color w:val="1B365D"/>
          <w:sz w:val="24"/>
          <w:szCs w:val="24"/>
        </w:rPr>
        <w:t>Receita: IVA sustenta a receita fiscal, IRC e transferências de capital recuam</w:t>
      </w:r>
    </w:p>
    <w:p w14:paraId="27FA8476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>A receita efetiva do Governo Regional totalizou 1 135,9 milhões de euros, mais 0,7% (+7,4 milhões de euros) do que em 2025. O resultado traduz duas dinâmicas opostas: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85C86" w14:paraId="79166BCB" w14:textId="77777777">
        <w:tc>
          <w:tcPr>
            <w:tcW w:w="9638" w:type="dxa"/>
            <w:tcBorders>
              <w:top w:val="none" w:sz="0" w:space="0" w:color="FFFFFF"/>
              <w:left w:val="single" w:sz="12" w:space="0" w:color="C8963E"/>
              <w:bottom w:val="none" w:sz="0" w:space="0" w:color="FFFFFF"/>
              <w:right w:val="none" w:sz="0" w:space="0" w:color="FFFFFF"/>
            </w:tcBorders>
            <w:shd w:val="clear" w:color="auto" w:fill="EDF7EE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0B8749D" w14:textId="3588032B" w:rsidR="00E85C86" w:rsidRDefault="004030DE">
            <w:pPr>
              <w:spacing w:after="60"/>
            </w:pPr>
            <w:r>
              <w:rPr>
                <w:b/>
                <w:bCs/>
                <w:color w:val="1B6B3A"/>
                <w:sz w:val="20"/>
                <w:szCs w:val="20"/>
              </w:rPr>
              <w:t>Receita fiscal +</w:t>
            </w:r>
            <w:r>
              <w:rPr>
                <w:color w:val="1B6B3A"/>
                <w:sz w:val="20"/>
                <w:szCs w:val="20"/>
              </w:rPr>
              <w:t>2,4% (+19,5 M€)</w:t>
            </w:r>
          </w:p>
          <w:p w14:paraId="4F5E8B64" w14:textId="5790DE9F" w:rsidR="00E85C86" w:rsidRDefault="004030DE">
            <w:pPr>
              <w:spacing w:line="280" w:lineRule="auto"/>
            </w:pPr>
            <w:r>
              <w:rPr>
                <w:color w:val="4A5568"/>
                <w:sz w:val="18"/>
                <w:szCs w:val="18"/>
              </w:rPr>
              <w:t>IVA +6,8% (428,1 M€) · IRC -11,9% (124,2 M€) · IRS -0,8% (139,7 M€)</w:t>
            </w:r>
          </w:p>
        </w:tc>
      </w:tr>
    </w:tbl>
    <w:p w14:paraId="6C323D3C" w14:textId="77777777" w:rsidR="00E85C86" w:rsidRDefault="00E85C86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85C86" w14:paraId="0C75151D" w14:textId="77777777">
        <w:tc>
          <w:tcPr>
            <w:tcW w:w="9638" w:type="dxa"/>
            <w:tcBorders>
              <w:top w:val="none" w:sz="0" w:space="0" w:color="FFFFFF"/>
              <w:left w:val="single" w:sz="12" w:space="0" w:color="C8963E"/>
              <w:bottom w:val="none" w:sz="0" w:space="0" w:color="FFFFFF"/>
              <w:right w:val="none" w:sz="0" w:space="0" w:color="FFFFFF"/>
            </w:tcBorders>
            <w:shd w:val="clear" w:color="auto" w:fill="FFF5F5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E64159D" w14:textId="2C8E3E84" w:rsidR="00E85C86" w:rsidRDefault="004030DE">
            <w:pPr>
              <w:spacing w:after="60"/>
            </w:pPr>
            <w:r>
              <w:rPr>
                <w:b/>
                <w:bCs/>
                <w:color w:val="1B365D"/>
                <w:sz w:val="20"/>
                <w:szCs w:val="20"/>
              </w:rPr>
              <w:t>Receita não fiscal -</w:t>
            </w:r>
            <w:r>
              <w:rPr>
                <w:color w:val="1B365D"/>
                <w:sz w:val="20"/>
                <w:szCs w:val="20"/>
              </w:rPr>
              <w:t>3,6% (-12,1 M€)</w:t>
            </w:r>
          </w:p>
          <w:p w14:paraId="409E1AC0" w14:textId="6801294A" w:rsidR="00E85C86" w:rsidRDefault="004030DE">
            <w:pPr>
              <w:spacing w:line="280" w:lineRule="auto"/>
            </w:pPr>
            <w:r>
              <w:rPr>
                <w:color w:val="4A5568"/>
                <w:sz w:val="18"/>
                <w:szCs w:val="18"/>
              </w:rPr>
              <w:t>Receitas de capital -30,0% (-30,6 M€), por ausência da transferência ao abrigo do art.º 49.º da LFRA. Transferências correntes: +19,0 M€, com origem na Administração Central e na União Europeia.</w:t>
            </w:r>
          </w:p>
        </w:tc>
      </w:tr>
    </w:tbl>
    <w:p w14:paraId="02B7B974" w14:textId="77777777" w:rsidR="00E85C86" w:rsidRDefault="00E85C86">
      <w:pPr>
        <w:spacing w:after="40"/>
      </w:pPr>
    </w:p>
    <w:p w14:paraId="5D52484B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 xml:space="preserve">O crescimento dos impostos indiretos, com o IVA a beneficiar dos acertos do regime de capitação, compensou a quebra do IRC, associada à autoliquidação e ao primeiro pagamento por conta, e a redução do IRS, ainda marcada </w:t>
      </w:r>
      <w:r>
        <w:rPr>
          <w:color w:val="2D3748"/>
        </w:rPr>
        <w:lastRenderedPageBreak/>
        <w:t>pelos reembolsos da campanha de 2025. O reforço das transferências correntes atenuou a quebra das transferências de capital da Administração Central.</w:t>
      </w:r>
    </w:p>
    <w:p w14:paraId="38AC4515" w14:textId="0F99E5D6" w:rsidR="00E85C86" w:rsidRDefault="004030DE">
      <w:pPr>
        <w:pBdr>
          <w:left w:val="single" w:sz="18" w:space="8" w:color="C8963E"/>
        </w:pBdr>
        <w:spacing w:before="300" w:after="140"/>
        <w:ind w:left="120"/>
      </w:pPr>
      <w:r>
        <w:rPr>
          <w:b/>
          <w:bCs/>
          <w:color w:val="1B365D"/>
          <w:sz w:val="24"/>
          <w:szCs w:val="24"/>
        </w:rPr>
        <w:t>Despesa: aumento de 11,3%, alavancado por transferências correntes, bens e serviços e pessoal</w:t>
      </w:r>
    </w:p>
    <w:p w14:paraId="43E30D52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>A despesa efetiva do Governo Regional situou-se em 1 122,9 milhões de euros, mais 11,3% do que em 2025 (+114,3 milhões), correspondendo a uma execução orçamental de 51,8%.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85C86" w14:paraId="4A9DEDAE" w14:textId="77777777">
        <w:tc>
          <w:tcPr>
            <w:tcW w:w="9638" w:type="dxa"/>
            <w:tcBorders>
              <w:top w:val="none" w:sz="0" w:space="0" w:color="FFFFFF"/>
              <w:left w:val="single" w:sz="12" w:space="0" w:color="C8963E"/>
              <w:bottom w:val="none" w:sz="0" w:space="0" w:color="FFFFFF"/>
              <w:right w:val="none" w:sz="0" w:space="0" w:color="FFFFFF"/>
            </w:tcBorders>
            <w:shd w:val="clear" w:color="auto" w:fill="FFF8ED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882E2B2" w14:textId="77777777" w:rsidR="00E85C86" w:rsidRDefault="004030DE">
            <w:pPr>
              <w:spacing w:after="80"/>
            </w:pPr>
            <w:r>
              <w:rPr>
                <w:b/>
                <w:bCs/>
                <w:color w:val="1B365D"/>
                <w:sz w:val="19"/>
                <w:szCs w:val="19"/>
              </w:rPr>
              <w:t>Principais variações da despesa:</w:t>
            </w:r>
          </w:p>
          <w:p w14:paraId="503FB3AF" w14:textId="77777777" w:rsidR="00E85C86" w:rsidRDefault="004030DE">
            <w:pPr>
              <w:spacing w:after="40" w:line="280" w:lineRule="auto"/>
            </w:pPr>
            <w:r>
              <w:rPr>
                <w:color w:val="4A5568"/>
                <w:sz w:val="18"/>
                <w:szCs w:val="18"/>
              </w:rPr>
              <w:t>Transferências correntes: +18,2% (+74,8 M€), sobretudo para a área da saúde</w:t>
            </w:r>
          </w:p>
          <w:p w14:paraId="36DD2581" w14:textId="77777777" w:rsidR="00E85C86" w:rsidRDefault="004030DE">
            <w:pPr>
              <w:spacing w:after="40" w:line="280" w:lineRule="auto"/>
            </w:pPr>
            <w:r>
              <w:rPr>
                <w:color w:val="4A5568"/>
                <w:sz w:val="18"/>
                <w:szCs w:val="18"/>
              </w:rPr>
              <w:t>Aquisição de bens e serviços correntes: +18,6% (+20,6 M€)</w:t>
            </w:r>
          </w:p>
          <w:p w14:paraId="5CF4930A" w14:textId="77777777" w:rsidR="00E85C86" w:rsidRDefault="004030DE">
            <w:pPr>
              <w:spacing w:after="40" w:line="280" w:lineRule="auto"/>
            </w:pPr>
            <w:r>
              <w:rPr>
                <w:color w:val="4A5568"/>
                <w:sz w:val="18"/>
                <w:szCs w:val="18"/>
              </w:rPr>
              <w:t>Despesas com o pessoal: +4,7% (+14,8 M€), reflexo das atualizações salariais</w:t>
            </w:r>
          </w:p>
          <w:p w14:paraId="2DB9C3EC" w14:textId="77777777" w:rsidR="00E85C86" w:rsidRDefault="004030DE">
            <w:pPr>
              <w:spacing w:line="280" w:lineRule="auto"/>
            </w:pPr>
            <w:r>
              <w:rPr>
                <w:color w:val="4A5568"/>
                <w:sz w:val="18"/>
                <w:szCs w:val="18"/>
              </w:rPr>
              <w:t>Juros e outros encargos: -4,1% (-3,5 M€)</w:t>
            </w:r>
          </w:p>
        </w:tc>
      </w:tr>
    </w:tbl>
    <w:p w14:paraId="27B407DA" w14:textId="77777777" w:rsidR="00E85C86" w:rsidRDefault="00E85C86">
      <w:pPr>
        <w:spacing w:after="40"/>
      </w:pPr>
    </w:p>
    <w:p w14:paraId="409DEF4A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>Por áreas de intervenção, a Saúde e a Educação representaram, em conjunto, 58,8% da despesa, seguindo-se os Assuntos económicos (15,8%) e os Serviços gerais das administrações públicas (14,6%).</w:t>
      </w:r>
    </w:p>
    <w:p w14:paraId="05F1D376" w14:textId="77777777" w:rsidR="00E85C86" w:rsidRDefault="004030DE">
      <w:pPr>
        <w:pBdr>
          <w:left w:val="single" w:sz="18" w:space="8" w:color="C8963E"/>
        </w:pBdr>
        <w:spacing w:before="300" w:after="140"/>
        <w:ind w:left="120"/>
      </w:pPr>
      <w:r>
        <w:rPr>
          <w:b/>
          <w:bCs/>
          <w:color w:val="1B365D"/>
          <w:sz w:val="24"/>
          <w:szCs w:val="24"/>
        </w:rPr>
        <w:t>Dívida não financeira</w:t>
      </w:r>
    </w:p>
    <w:p w14:paraId="294A06B9" w14:textId="77777777" w:rsidR="00E85C86" w:rsidRDefault="004030DE">
      <w:pPr>
        <w:spacing w:after="160" w:line="300" w:lineRule="auto"/>
        <w:jc w:val="both"/>
      </w:pPr>
      <w:r>
        <w:rPr>
          <w:color w:val="2D3748"/>
        </w:rPr>
        <w:t>O passivo acumulado ascendia, no final de agosto, a 184,7 milhões de euros, um acréscimo de 7,6 milhões face ao período homólogo. Os pagamentos em atraso fixaram-se em 25,0 milhões de euros, menos 2,9 milhões do que em agosto de 2025, dos quais 11,3 milhões respeitam às novas EPR.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85C86" w14:paraId="5C053338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80" w:type="dxa"/>
              <w:left w:w="300" w:type="dxa"/>
              <w:bottom w:w="180" w:type="dxa"/>
              <w:right w:w="300" w:type="dxa"/>
            </w:tcMar>
          </w:tcPr>
          <w:p w14:paraId="17F0AB2B" w14:textId="77777777" w:rsidR="00E85C86" w:rsidRDefault="004030DE">
            <w:pPr>
              <w:spacing w:after="60"/>
              <w:jc w:val="center"/>
            </w:pPr>
            <w:r>
              <w:rPr>
                <w:b/>
                <w:bCs/>
                <w:color w:val="1B365D"/>
                <w:sz w:val="18"/>
                <w:szCs w:val="18"/>
              </w:rPr>
              <w:t>Redução acumulada desde 2012 (mesmo universo de entidades)</w:t>
            </w:r>
          </w:p>
          <w:p w14:paraId="06E360CC" w14:textId="77777777" w:rsidR="00E85C86" w:rsidRDefault="004030DE">
            <w:pPr>
              <w:jc w:val="center"/>
            </w:pPr>
            <w:r>
              <w:rPr>
                <w:color w:val="4A5568"/>
                <w:sz w:val="20"/>
                <w:szCs w:val="20"/>
              </w:rPr>
              <w:t xml:space="preserve">Passivos: </w:t>
            </w:r>
            <w:r>
              <w:rPr>
                <w:b/>
                <w:bCs/>
                <w:color w:val="1B365D"/>
                <w:sz w:val="26"/>
                <w:szCs w:val="26"/>
              </w:rPr>
              <w:t>-2 566,6 M€</w:t>
            </w:r>
            <w:r>
              <w:rPr>
                <w:color w:val="4A5568"/>
                <w:sz w:val="20"/>
                <w:szCs w:val="20"/>
              </w:rPr>
              <w:t xml:space="preserve">     Pagamentos em atraso: </w:t>
            </w:r>
            <w:r>
              <w:rPr>
                <w:b/>
                <w:bCs/>
                <w:color w:val="1B365D"/>
                <w:sz w:val="26"/>
                <w:szCs w:val="26"/>
              </w:rPr>
              <w:t>-1 108,1 M€</w:t>
            </w:r>
          </w:p>
        </w:tc>
      </w:tr>
    </w:tbl>
    <w:p w14:paraId="4E8AE5A0" w14:textId="77777777" w:rsidR="00E85C86" w:rsidRDefault="00E85C86">
      <w:pPr>
        <w:spacing w:after="300"/>
      </w:pPr>
    </w:p>
    <w:p w14:paraId="419815C0" w14:textId="77777777" w:rsidR="00E85C86" w:rsidRDefault="00E85C86">
      <w:pPr>
        <w:pBdr>
          <w:bottom w:val="single" w:sz="6" w:space="4" w:color="C8963E"/>
        </w:pBdr>
        <w:spacing w:after="200"/>
      </w:pPr>
    </w:p>
    <w:p w14:paraId="02872C70" w14:textId="77777777" w:rsidR="00E85C86" w:rsidRPr="00E77441" w:rsidRDefault="004030DE">
      <w:pPr>
        <w:rPr>
          <w:u w:val="single"/>
        </w:rPr>
      </w:pPr>
      <w:r>
        <w:rPr>
          <w:color w:val="4A5568"/>
          <w:sz w:val="20"/>
          <w:szCs w:val="20"/>
        </w:rPr>
        <w:t>Secretaria Regional das Finanças, 30 de setembro de 2026.</w:t>
      </w:r>
    </w:p>
    <w:sectPr w:rsidR="00E85C86" w:rsidRPr="00E77441">
      <w:headerReference w:type="default" r:id="rId8"/>
      <w:footerReference w:type="default" r:id="rId9"/>
      <w:pgSz w:w="11906" w:h="16838"/>
      <w:pgMar w:top="850" w:right="1134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88F0" w14:textId="77777777" w:rsidR="00B77C23" w:rsidRDefault="00B77C23">
      <w:r>
        <w:separator/>
      </w:r>
    </w:p>
  </w:endnote>
  <w:endnote w:type="continuationSeparator" w:id="0">
    <w:p w14:paraId="640CE1D8" w14:textId="77777777" w:rsidR="00B77C23" w:rsidRDefault="00B7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2190" w14:textId="77777777" w:rsidR="00E85C86" w:rsidRDefault="004030DE">
    <w:pPr>
      <w:pBdr>
        <w:top w:val="single" w:sz="2" w:space="6" w:color="E0E4EA"/>
      </w:pBdr>
      <w:tabs>
        <w:tab w:val="right" w:pos="9026"/>
      </w:tabs>
    </w:pPr>
    <w:r>
      <w:rPr>
        <w:color w:val="4A5568"/>
        <w:sz w:val="15"/>
        <w:szCs w:val="15"/>
      </w:rPr>
      <w:t>Secretaria Regional das Finanças</w:t>
    </w:r>
    <w:r>
      <w:tab/>
    </w:r>
    <w:r>
      <w:rPr>
        <w:color w:val="4A5568"/>
        <w:sz w:val="15"/>
        <w:szCs w:val="15"/>
      </w:rPr>
      <w:t>www.madeira.gov.pt/srf/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3519" w14:textId="77777777" w:rsidR="00B77C23" w:rsidRDefault="00B77C23">
      <w:r>
        <w:separator/>
      </w:r>
    </w:p>
  </w:footnote>
  <w:footnote w:type="continuationSeparator" w:id="0">
    <w:p w14:paraId="697D9156" w14:textId="77777777" w:rsidR="00B77C23" w:rsidRDefault="00B77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C705" w14:textId="77777777" w:rsidR="00E85C86" w:rsidRPr="007E1176" w:rsidRDefault="004030DE">
    <w:pPr>
      <w:jc w:val="right"/>
      <w:rPr>
        <w:sz w:val="20"/>
        <w:szCs w:val="20"/>
      </w:rPr>
    </w:pPr>
    <w:r w:rsidRPr="007E1176">
      <w:rPr>
        <w:color w:val="4A5568"/>
        <w:spacing w:val="120"/>
        <w:sz w:val="20"/>
        <w:szCs w:val="20"/>
      </w:rPr>
      <w:t>NOTA DE IMPRENSA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20B25"/>
    <w:multiLevelType w:val="hybridMultilevel"/>
    <w:tmpl w:val="B66CDB96"/>
    <w:lvl w:ilvl="0" w:tplc="C3D6822E">
      <w:start w:val="1"/>
      <w:numFmt w:val="bullet"/>
      <w:lvlText w:val="●"/>
      <w:lvlJc w:val="left"/>
      <w:pPr>
        <w:ind w:left="720" w:hanging="360"/>
      </w:pPr>
    </w:lvl>
    <w:lvl w:ilvl="1" w:tplc="81643BE4">
      <w:start w:val="1"/>
      <w:numFmt w:val="bullet"/>
      <w:lvlText w:val="○"/>
      <w:lvlJc w:val="left"/>
      <w:pPr>
        <w:ind w:left="1440" w:hanging="360"/>
      </w:pPr>
    </w:lvl>
    <w:lvl w:ilvl="2" w:tplc="064607F8">
      <w:start w:val="1"/>
      <w:numFmt w:val="bullet"/>
      <w:lvlText w:val="■"/>
      <w:lvlJc w:val="left"/>
      <w:pPr>
        <w:ind w:left="2160" w:hanging="360"/>
      </w:pPr>
    </w:lvl>
    <w:lvl w:ilvl="3" w:tplc="F2D8CEA4">
      <w:start w:val="1"/>
      <w:numFmt w:val="bullet"/>
      <w:lvlText w:val="●"/>
      <w:lvlJc w:val="left"/>
      <w:pPr>
        <w:ind w:left="2880" w:hanging="360"/>
      </w:pPr>
    </w:lvl>
    <w:lvl w:ilvl="4" w:tplc="01A682AE">
      <w:start w:val="1"/>
      <w:numFmt w:val="bullet"/>
      <w:lvlText w:val="○"/>
      <w:lvlJc w:val="left"/>
      <w:pPr>
        <w:ind w:left="3600" w:hanging="360"/>
      </w:pPr>
    </w:lvl>
    <w:lvl w:ilvl="5" w:tplc="AC943EE4">
      <w:start w:val="1"/>
      <w:numFmt w:val="bullet"/>
      <w:lvlText w:val="■"/>
      <w:lvlJc w:val="left"/>
      <w:pPr>
        <w:ind w:left="4320" w:hanging="360"/>
      </w:pPr>
    </w:lvl>
    <w:lvl w:ilvl="6" w:tplc="2548922E">
      <w:start w:val="1"/>
      <w:numFmt w:val="bullet"/>
      <w:lvlText w:val="●"/>
      <w:lvlJc w:val="left"/>
      <w:pPr>
        <w:ind w:left="5040" w:hanging="360"/>
      </w:pPr>
    </w:lvl>
    <w:lvl w:ilvl="7" w:tplc="6460407E">
      <w:start w:val="1"/>
      <w:numFmt w:val="bullet"/>
      <w:lvlText w:val="●"/>
      <w:lvlJc w:val="left"/>
      <w:pPr>
        <w:ind w:left="5760" w:hanging="360"/>
      </w:pPr>
    </w:lvl>
    <w:lvl w:ilvl="8" w:tplc="9DC6434A">
      <w:start w:val="1"/>
      <w:numFmt w:val="bullet"/>
      <w:lvlText w:val="●"/>
      <w:lvlJc w:val="left"/>
      <w:pPr>
        <w:ind w:left="6480" w:hanging="360"/>
      </w:pPr>
    </w:lvl>
  </w:abstractNum>
  <w:num w:numId="1" w16cid:durableId="18688370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C86"/>
    <w:rsid w:val="000A706E"/>
    <w:rsid w:val="000B4CB2"/>
    <w:rsid w:val="0014387A"/>
    <w:rsid w:val="001B1AF5"/>
    <w:rsid w:val="001E06A8"/>
    <w:rsid w:val="002234EA"/>
    <w:rsid w:val="002D6F08"/>
    <w:rsid w:val="00326C15"/>
    <w:rsid w:val="00335A68"/>
    <w:rsid w:val="003D2C87"/>
    <w:rsid w:val="004030DE"/>
    <w:rsid w:val="00497B34"/>
    <w:rsid w:val="004A7BBA"/>
    <w:rsid w:val="004D3459"/>
    <w:rsid w:val="007C0706"/>
    <w:rsid w:val="007C2B85"/>
    <w:rsid w:val="007E1176"/>
    <w:rsid w:val="007E7DA6"/>
    <w:rsid w:val="008242E7"/>
    <w:rsid w:val="00833F88"/>
    <w:rsid w:val="00893AC8"/>
    <w:rsid w:val="00997B1D"/>
    <w:rsid w:val="00A52421"/>
    <w:rsid w:val="00A952A6"/>
    <w:rsid w:val="00B77C23"/>
    <w:rsid w:val="00C1133E"/>
    <w:rsid w:val="00C64DE5"/>
    <w:rsid w:val="00D90AA0"/>
    <w:rsid w:val="00DB3E6A"/>
    <w:rsid w:val="00DD4E59"/>
    <w:rsid w:val="00E0674E"/>
    <w:rsid w:val="00E31D95"/>
    <w:rsid w:val="00E42F7C"/>
    <w:rsid w:val="00E63EBC"/>
    <w:rsid w:val="00E77441"/>
    <w:rsid w:val="00E85C86"/>
    <w:rsid w:val="00EB67BD"/>
    <w:rsid w:val="00EC0C7E"/>
    <w:rsid w:val="00EE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6372"/>
  <w15:docId w15:val="{8656DA5F-225E-4DD3-B248-ED885E6D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paragraph" w:styleId="Reviso">
    <w:name w:val="Revision"/>
    <w:hidden/>
    <w:uiPriority w:val="99"/>
    <w:semiHidden/>
    <w:rsid w:val="00E63EBC"/>
  </w:style>
  <w:style w:type="character" w:styleId="Refdecomentrio">
    <w:name w:val="annotation reference"/>
    <w:basedOn w:val="Tipodeletrapredefinidodopargrafo"/>
    <w:uiPriority w:val="99"/>
    <w:semiHidden/>
    <w:unhideWhenUsed/>
    <w:rsid w:val="000B4CB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B4CB2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B4CB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B4CB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B4CB2"/>
    <w:rPr>
      <w:b/>
      <w:bCs/>
      <w:sz w:val="20"/>
      <w:szCs w:val="20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97B3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7E117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1176"/>
  </w:style>
  <w:style w:type="paragraph" w:styleId="Rodap">
    <w:name w:val="footer"/>
    <w:basedOn w:val="Normal"/>
    <w:link w:val="RodapCarter"/>
    <w:uiPriority w:val="99"/>
    <w:unhideWhenUsed/>
    <w:rsid w:val="007E117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1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Tania Fernandes</cp:lastModifiedBy>
  <cp:revision>2</cp:revision>
  <dcterms:created xsi:type="dcterms:W3CDTF">2026-09-27T21:15:00Z</dcterms:created>
  <dcterms:modified xsi:type="dcterms:W3CDTF">2026-09-27T21:15:00Z</dcterms:modified>
</cp:coreProperties>
</file>