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6CFD181B" w14:textId="77777777" w:rsidTr="00335A68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5317" w:themeFill="accent6" w:themeFillShade="80"/>
            <w:tcMar>
              <w:top w:w="350" w:type="dxa"/>
              <w:left w:w="300" w:type="dxa"/>
              <w:bottom w:w="350" w:type="dxa"/>
              <w:right w:w="300" w:type="dxa"/>
            </w:tcMar>
          </w:tcPr>
          <w:p w14:paraId="3A158770" w14:textId="63C49853" w:rsidR="00C1133E" w:rsidRDefault="00C1133E" w:rsidP="00E42F7C">
            <w:pPr>
              <w:tabs>
                <w:tab w:val="right" w:pos="9038"/>
              </w:tabs>
              <w:spacing w:after="60"/>
              <w:rPr>
                <w:color w:val="C8963E"/>
                <w:spacing w:val="2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3FB8E6" wp14:editId="06919A5D">
                  <wp:extent cx="2576286" cy="408442"/>
                  <wp:effectExtent l="0" t="0" r="0" b="0"/>
                  <wp:docPr id="14071600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372" cy="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2F7C">
              <w:rPr>
                <w:color w:val="C8963E"/>
                <w:spacing w:val="200"/>
                <w:sz w:val="18"/>
                <w:szCs w:val="18"/>
              </w:rPr>
              <w:tab/>
            </w:r>
          </w:p>
          <w:p w14:paraId="1149BF53" w14:textId="77777777" w:rsidR="00C1133E" w:rsidRDefault="00C1133E">
            <w:pPr>
              <w:spacing w:after="60"/>
              <w:rPr>
                <w:color w:val="C8963E"/>
                <w:spacing w:val="200"/>
                <w:sz w:val="18"/>
                <w:szCs w:val="18"/>
              </w:rPr>
            </w:pPr>
          </w:p>
          <w:p w14:paraId="1439AD46" w14:textId="6777E182" w:rsidR="00E85C86" w:rsidRPr="00A952A6" w:rsidRDefault="001E06A8">
            <w:pPr>
              <w:spacing w:after="40"/>
              <w:rPr>
                <w:color w:val="BE9B64"/>
              </w:rPr>
            </w:pPr>
            <w:r w:rsidRPr="00A952A6">
              <w:rPr>
                <w:b/>
                <w:bCs/>
                <w:color w:val="BE9B64"/>
                <w:sz w:val="40"/>
                <w:szCs w:val="40"/>
              </w:rPr>
              <w:t>BOLETIM DE EXECUÇÃO ORÇAMENTAL</w:t>
            </w:r>
            <w:r w:rsidR="00A52421">
              <w:rPr>
                <w:b/>
                <w:bCs/>
                <w:color w:val="BE9B64"/>
                <w:sz w:val="40"/>
                <w:szCs w:val="40"/>
              </w:rPr>
              <w:t xml:space="preserve"> - RAM</w:t>
            </w:r>
          </w:p>
          <w:p w14:paraId="03B90B8F" w14:textId="77777777" w:rsidR="00E85C86" w:rsidRDefault="004030DE">
            <w:r>
              <w:rPr>
                <w:color w:val="A0B4CC"/>
                <w:sz w:val="22"/>
                <w:szCs w:val="22"/>
              </w:rPr>
              <w:t>Resultados acumulados até fevereiro de 2026</w:t>
            </w:r>
          </w:p>
        </w:tc>
      </w:tr>
    </w:tbl>
    <w:p w14:paraId="4492B5A0" w14:textId="77777777" w:rsidR="00E85C86" w:rsidRDefault="00E85C86">
      <w:pPr>
        <w:spacing w:after="25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E85C86" w:rsidRPr="000A706E" w14:paraId="17A94B9B" w14:textId="77777777"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0E4EA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4B4E91AB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50,8</w:t>
            </w:r>
          </w:p>
          <w:p w14:paraId="20371F18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7DB0AA9D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Saldo global consolidado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0E4EA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D8E5380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149,4</w:t>
            </w:r>
          </w:p>
          <w:p w14:paraId="5826491D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4FCFC1DD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Receita efetiva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04D1D70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98,5</w:t>
            </w:r>
          </w:p>
          <w:p w14:paraId="596F4FF1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1E5AACF1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Despesa efetiva</w:t>
            </w:r>
          </w:p>
        </w:tc>
      </w:tr>
    </w:tbl>
    <w:p w14:paraId="54C639AC" w14:textId="77777777" w:rsidR="00E85C86" w:rsidRDefault="00E85C86">
      <w:pPr>
        <w:spacing w:after="80"/>
      </w:pPr>
    </w:p>
    <w:p w14:paraId="539F5672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 xml:space="preserve">O Boletim de Execução Orçamental de fevereiro de 2026 encontra-se disponível em </w:t>
      </w:r>
      <w:r>
        <w:rPr>
          <w:b/>
          <w:bCs/>
          <w:color w:val="2D3748"/>
        </w:rPr>
        <w:t>www.madeira.gov.pt/</w:t>
      </w:r>
      <w:proofErr w:type="spellStart"/>
      <w:r>
        <w:rPr>
          <w:b/>
          <w:bCs/>
          <w:color w:val="2D3748"/>
        </w:rPr>
        <w:t>srf</w:t>
      </w:r>
      <w:proofErr w:type="spellEnd"/>
      <w:r>
        <w:rPr>
          <w:b/>
          <w:bCs/>
          <w:color w:val="2D3748"/>
        </w:rPr>
        <w:t>/</w:t>
      </w:r>
      <w:r>
        <w:rPr>
          <w:color w:val="2D3748"/>
        </w:rPr>
        <w:t>. Esta publicação mensal analisa a evolução das finanças públicas regionais, abrangendo o Governo Regional, os Serviços e Fundos Autónomos (SFA) e as Entidades Públicas Reclassificadas (EPR).</w:t>
      </w:r>
    </w:p>
    <w:p w14:paraId="22C440E3" w14:textId="77777777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Resultado da Administração Pública Regional</w:t>
      </w:r>
    </w:p>
    <w:p w14:paraId="5DFA0666" w14:textId="1B39911B" w:rsidR="00E85C86" w:rsidRDefault="004030DE">
      <w:pPr>
        <w:spacing w:after="160" w:line="300" w:lineRule="auto"/>
        <w:jc w:val="both"/>
      </w:pPr>
      <w:r>
        <w:rPr>
          <w:color w:val="2D3748"/>
        </w:rPr>
        <w:t>No final de fevereiro de 2026, as contas consolidadas da Administração Pública Regional apresentam um excedente de 50,8 milhões de euros. Trata-se, contudo, de um resultado inferior ao do mesmo período de 2025, quando o excedente atingiu 63,6 milhões de euros (-20,0%).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85C86" w14:paraId="3BC1F9B8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D47143" w14:textId="77777777" w:rsidR="00E85C86" w:rsidRDefault="004030DE">
            <w:pPr>
              <w:spacing w:after="30"/>
            </w:pPr>
            <w:r>
              <w:rPr>
                <w:color w:val="4A5568"/>
                <w:sz w:val="17"/>
                <w:szCs w:val="17"/>
              </w:rPr>
              <w:t>Excedente fev. 2026</w:t>
            </w:r>
          </w:p>
          <w:p w14:paraId="0009FB00" w14:textId="77777777" w:rsidR="00E85C86" w:rsidRDefault="004030DE">
            <w:r>
              <w:rPr>
                <w:b/>
                <w:bCs/>
                <w:color w:val="1B365D"/>
                <w:sz w:val="28"/>
                <w:szCs w:val="28"/>
              </w:rPr>
              <w:t>50,8 M€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EED272" w14:textId="77777777" w:rsidR="00E85C86" w:rsidRDefault="004030DE">
            <w:pPr>
              <w:spacing w:after="30"/>
            </w:pPr>
            <w:r>
              <w:rPr>
                <w:color w:val="4A5568"/>
                <w:sz w:val="17"/>
                <w:szCs w:val="17"/>
              </w:rPr>
              <w:t>Excedente fev. 2025</w:t>
            </w:r>
          </w:p>
          <w:p w14:paraId="7A0C0FAB" w14:textId="77777777" w:rsidR="00E85C86" w:rsidRDefault="004030DE">
            <w:r>
              <w:rPr>
                <w:b/>
                <w:bCs/>
                <w:color w:val="1B365D"/>
                <w:sz w:val="28"/>
                <w:szCs w:val="28"/>
              </w:rPr>
              <w:t>63,6 M€</w:t>
            </w:r>
          </w:p>
        </w:tc>
      </w:tr>
    </w:tbl>
    <w:p w14:paraId="1B95CD28" w14:textId="77777777" w:rsidR="00E85C86" w:rsidRDefault="00E85C86">
      <w:pPr>
        <w:spacing w:after="40"/>
      </w:pPr>
    </w:p>
    <w:p w14:paraId="5CEC2BAE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Todos os subsetores contribuíram positivamente. O Governo Regional gerou um excedente de 18,0 milhões de euros, embora com um agravamento de 33,6 milhões face a 2025. Os SFA e as EPR apresentaram, em conjunto, um excedente de 17,0 milhões de euros, com destaque para a melhoria das EPR em 6,7 milhões de euros.</w:t>
      </w:r>
    </w:p>
    <w:p w14:paraId="6B549C3B" w14:textId="0A8078E0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 xml:space="preserve">Receita: impostos crescem, transferências </w:t>
      </w:r>
      <w:r w:rsidR="00E63EBC">
        <w:rPr>
          <w:b/>
          <w:bCs/>
          <w:color w:val="1B365D"/>
          <w:sz w:val="24"/>
          <w:szCs w:val="24"/>
        </w:rPr>
        <w:t>da Administração Central</w:t>
      </w:r>
      <w:r>
        <w:rPr>
          <w:b/>
          <w:bCs/>
          <w:color w:val="1B365D"/>
          <w:sz w:val="24"/>
          <w:szCs w:val="24"/>
        </w:rPr>
        <w:t xml:space="preserve"> caem</w:t>
      </w:r>
    </w:p>
    <w:p w14:paraId="27FA8476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receita efetiva do Governo Regional totalizou 225,7 milhões de euros, uma queda de 9,9% (-24,7 milhões de euros) face a 2025. Este recuo resulta de duas dinâmicas opostas: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79166BCB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EDF7EE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0B8749D" w14:textId="3588032B" w:rsidR="00E85C86" w:rsidRDefault="004030DE">
            <w:pPr>
              <w:spacing w:after="60"/>
            </w:pPr>
            <w:r>
              <w:rPr>
                <w:b/>
                <w:bCs/>
                <w:color w:val="1B6B3A"/>
                <w:sz w:val="20"/>
                <w:szCs w:val="20"/>
              </w:rPr>
              <w:t>Receita fiscal +</w:t>
            </w:r>
            <w:r>
              <w:rPr>
                <w:color w:val="1B6B3A"/>
                <w:sz w:val="20"/>
                <w:szCs w:val="20"/>
              </w:rPr>
              <w:t>9,5% (+13,9 M€)</w:t>
            </w:r>
          </w:p>
          <w:p w14:paraId="4F5E8B64" w14:textId="5790DE9F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IVA +6,7% (106,9 M€) · IRC +171,1% (5,7 M</w:t>
            </w:r>
            <w:proofErr w:type="gramStart"/>
            <w:r>
              <w:rPr>
                <w:color w:val="4A5568"/>
                <w:sz w:val="18"/>
                <w:szCs w:val="18"/>
              </w:rPr>
              <w:t>€)  ·</w:t>
            </w:r>
            <w:proofErr w:type="gramEnd"/>
            <w:r>
              <w:rPr>
                <w:color w:val="4A5568"/>
                <w:sz w:val="18"/>
                <w:szCs w:val="18"/>
              </w:rPr>
              <w:t xml:space="preserve">€) </w:t>
            </w:r>
            <w:proofErr w:type="gramStart"/>
            <w:r>
              <w:rPr>
                <w:color w:val="4A5568"/>
                <w:sz w:val="18"/>
                <w:szCs w:val="18"/>
              </w:rPr>
              <w:t>·  IRS</w:t>
            </w:r>
            <w:proofErr w:type="gramEnd"/>
            <w:r>
              <w:rPr>
                <w:color w:val="4A5568"/>
                <w:sz w:val="18"/>
                <w:szCs w:val="18"/>
              </w:rPr>
              <w:t xml:space="preserve"> +4,1% (28,9 M€)</w:t>
            </w:r>
          </w:p>
        </w:tc>
      </w:tr>
    </w:tbl>
    <w:p w14:paraId="6C323D3C" w14:textId="77777777" w:rsidR="00E85C86" w:rsidRDefault="00E85C86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0C75151D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FF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E64159D" w14:textId="2C8E3E84" w:rsidR="00E85C86" w:rsidRDefault="004030DE">
            <w:pPr>
              <w:spacing w:after="60"/>
            </w:pPr>
            <w:r>
              <w:rPr>
                <w:b/>
                <w:bCs/>
                <w:color w:val="9B2C2C"/>
                <w:sz w:val="20"/>
                <w:szCs w:val="20"/>
              </w:rPr>
              <w:t>Receita não fiscal -</w:t>
            </w:r>
            <w:r>
              <w:rPr>
                <w:color w:val="9B2C2C"/>
                <w:sz w:val="20"/>
                <w:szCs w:val="20"/>
              </w:rPr>
              <w:t>37,2% (-38,7 M€)</w:t>
            </w:r>
          </w:p>
          <w:p w14:paraId="409E1AC0" w14:textId="6801294A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Receitas de capital -81,6%, por ausência da transferência ao abrigo do art.º 49.º da LFRA. Transferências correntes da Administração Central: -8,</w:t>
            </w:r>
            <w:r w:rsidR="00EC0C7E">
              <w:rPr>
                <w:color w:val="4A5568"/>
                <w:sz w:val="18"/>
                <w:szCs w:val="18"/>
              </w:rPr>
              <w:t>9</w:t>
            </w:r>
            <w:r>
              <w:rPr>
                <w:color w:val="4A5568"/>
                <w:sz w:val="18"/>
                <w:szCs w:val="18"/>
              </w:rPr>
              <w:t xml:space="preserve"> M€.</w:t>
            </w:r>
          </w:p>
        </w:tc>
      </w:tr>
    </w:tbl>
    <w:p w14:paraId="02B7B974" w14:textId="77777777" w:rsidR="00E85C86" w:rsidRDefault="00E85C86">
      <w:pPr>
        <w:spacing w:after="40"/>
      </w:pPr>
    </w:p>
    <w:p w14:paraId="5D52484B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O crescimento robusto dos impostos — em especial do IRC, impulsionado pelo incremento das notas de cobrança e pela ausência de reembolsos extraordinários — não foi suficiente para compensar a forte contração das transferências do Estado.</w:t>
      </w:r>
    </w:p>
    <w:p w14:paraId="38AC4515" w14:textId="0F99E5D6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lastRenderedPageBreak/>
        <w:t xml:space="preserve">Despesa: aumento de 4,5%, </w:t>
      </w:r>
      <w:r w:rsidR="00E63EBC">
        <w:rPr>
          <w:b/>
          <w:bCs/>
          <w:color w:val="1B365D"/>
          <w:sz w:val="24"/>
          <w:szCs w:val="24"/>
        </w:rPr>
        <w:t xml:space="preserve">alavancado </w:t>
      </w:r>
      <w:r>
        <w:rPr>
          <w:b/>
          <w:bCs/>
          <w:color w:val="1B365D"/>
          <w:sz w:val="24"/>
          <w:szCs w:val="24"/>
        </w:rPr>
        <w:t>por pessoal e bens e serviços</w:t>
      </w:r>
    </w:p>
    <w:p w14:paraId="43E30D52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despesa efetiva do Governo Regional situou-se em 207,8 milhões de euros, mais 4,5% do que em 2025 (+8,9 milhões), correspondendo a uma execução orçamental de 10,0%.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4A9DEDAE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FFF8ED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882E2B2" w14:textId="77777777" w:rsidR="00E85C86" w:rsidRDefault="004030DE">
            <w:pPr>
              <w:spacing w:after="80"/>
            </w:pPr>
            <w:r>
              <w:rPr>
                <w:b/>
                <w:bCs/>
                <w:color w:val="1B365D"/>
                <w:sz w:val="19"/>
                <w:szCs w:val="19"/>
              </w:rPr>
              <w:t>Principais variações da despesa:</w:t>
            </w:r>
          </w:p>
          <w:p w14:paraId="503FB3AF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Aquisição de bens e serviços correntes: +28,6% (+10,6 M€)</w:t>
            </w:r>
          </w:p>
          <w:p w14:paraId="36DD2581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Despesas com o pessoal: +6,6% (+4,2 M€), reflexo das atualizações salariais</w:t>
            </w:r>
          </w:p>
          <w:p w14:paraId="5CF4930A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Transferências correntes: -7,3% (-5,2 M€)</w:t>
            </w:r>
          </w:p>
          <w:p w14:paraId="2DB9C3EC" w14:textId="77777777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Juros e outros encargos: praticamente estáveis (-0,1%)</w:t>
            </w:r>
          </w:p>
        </w:tc>
      </w:tr>
    </w:tbl>
    <w:p w14:paraId="27B407DA" w14:textId="77777777" w:rsidR="00E85C86" w:rsidRDefault="00E85C86">
      <w:pPr>
        <w:spacing w:after="40"/>
      </w:pPr>
    </w:p>
    <w:p w14:paraId="409DEF4A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Por áreas de intervenção, metade da despesa foi canalizada para a Saúde e a Educação (50,1%), seguindo-se os Assuntos económicos (23,3%) e os Serviços gerais (20,4%).</w:t>
      </w:r>
    </w:p>
    <w:p w14:paraId="05F1D376" w14:textId="77777777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Dívida não financeira</w:t>
      </w:r>
    </w:p>
    <w:p w14:paraId="294A06B9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O passivo acumulado ascendia, no final de fevereiro, a 240,5 milhões de euros — um acréscimo de 70,1 milhões face ao período homólogo. Os pagamentos em atraso, todavia, registaram uma evolução favorável, reduzindo-se em 22,1 milhões e fixando-se em 32,9 milhões de euros.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5C053338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17F0AB2B" w14:textId="77777777" w:rsidR="00E85C86" w:rsidRDefault="004030DE">
            <w:pPr>
              <w:spacing w:after="60"/>
              <w:jc w:val="center"/>
            </w:pPr>
            <w:r>
              <w:rPr>
                <w:b/>
                <w:bCs/>
                <w:color w:val="1B365D"/>
                <w:sz w:val="18"/>
                <w:szCs w:val="18"/>
              </w:rPr>
              <w:t>Redução acumulada desde 2012 (mesmo universo de entidades)</w:t>
            </w:r>
          </w:p>
          <w:p w14:paraId="06E360CC" w14:textId="77777777" w:rsidR="00E85C86" w:rsidRDefault="004030DE">
            <w:pPr>
              <w:jc w:val="center"/>
            </w:pPr>
            <w:r>
              <w:rPr>
                <w:color w:val="4A5568"/>
                <w:sz w:val="20"/>
                <w:szCs w:val="20"/>
              </w:rPr>
              <w:t xml:space="preserve">Passivos: </w:t>
            </w:r>
            <w:r>
              <w:rPr>
                <w:b/>
                <w:bCs/>
                <w:color w:val="1B365D"/>
                <w:sz w:val="26"/>
                <w:szCs w:val="26"/>
              </w:rPr>
              <w:t>-2 505,9 M€</w:t>
            </w:r>
            <w:r>
              <w:rPr>
                <w:color w:val="4A5568"/>
                <w:sz w:val="20"/>
                <w:szCs w:val="20"/>
              </w:rPr>
              <w:t xml:space="preserve">     Pagamentos em atraso: </w:t>
            </w:r>
            <w:r>
              <w:rPr>
                <w:b/>
                <w:bCs/>
                <w:color w:val="1B365D"/>
                <w:sz w:val="26"/>
                <w:szCs w:val="26"/>
              </w:rPr>
              <w:t>-1 110,6 M€</w:t>
            </w:r>
          </w:p>
        </w:tc>
      </w:tr>
    </w:tbl>
    <w:p w14:paraId="4E8AE5A0" w14:textId="77777777" w:rsidR="00E85C86" w:rsidRDefault="00E85C86">
      <w:pPr>
        <w:spacing w:after="300"/>
      </w:pPr>
    </w:p>
    <w:p w14:paraId="419815C0" w14:textId="77777777" w:rsidR="00E85C86" w:rsidRDefault="00E85C86">
      <w:pPr>
        <w:pBdr>
          <w:bottom w:val="single" w:sz="6" w:space="4" w:color="C8963E"/>
        </w:pBdr>
        <w:spacing w:after="200"/>
      </w:pPr>
    </w:p>
    <w:p w14:paraId="02872C70" w14:textId="77777777" w:rsidR="00E85C86" w:rsidRPr="00E77441" w:rsidRDefault="004030DE">
      <w:pPr>
        <w:rPr>
          <w:u w:val="single"/>
        </w:rPr>
      </w:pPr>
      <w:r>
        <w:rPr>
          <w:color w:val="4A5568"/>
          <w:sz w:val="20"/>
          <w:szCs w:val="20"/>
        </w:rPr>
        <w:t>Secretaria Regional das Finanças, 31 de março de 2026.</w:t>
      </w:r>
    </w:p>
    <w:sectPr w:rsidR="00E85C86" w:rsidRPr="00E77441">
      <w:headerReference w:type="default" r:id="rId8"/>
      <w:footerReference w:type="default" r:id="rId9"/>
      <w:pgSz w:w="11906" w:h="16838"/>
      <w:pgMar w:top="850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5C28" w14:textId="77777777" w:rsidR="00997B1D" w:rsidRDefault="00997B1D">
      <w:r>
        <w:separator/>
      </w:r>
    </w:p>
  </w:endnote>
  <w:endnote w:type="continuationSeparator" w:id="0">
    <w:p w14:paraId="2AF6F52F" w14:textId="77777777" w:rsidR="00997B1D" w:rsidRDefault="0099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2190" w14:textId="77777777" w:rsidR="00E85C86" w:rsidRDefault="004030DE">
    <w:pPr>
      <w:pBdr>
        <w:top w:val="single" w:sz="2" w:space="6" w:color="E0E4EA"/>
      </w:pBdr>
      <w:tabs>
        <w:tab w:val="right" w:pos="9026"/>
      </w:tabs>
    </w:pPr>
    <w:r>
      <w:rPr>
        <w:color w:val="4A5568"/>
        <w:sz w:val="15"/>
        <w:szCs w:val="15"/>
      </w:rPr>
      <w:t>Secretaria Regional das Finanças</w:t>
    </w:r>
    <w:r>
      <w:tab/>
    </w:r>
    <w:r>
      <w:rPr>
        <w:color w:val="4A5568"/>
        <w:sz w:val="15"/>
        <w:szCs w:val="15"/>
      </w:rPr>
      <w:t>www.madeira.gov.pt/srf/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27BE" w14:textId="77777777" w:rsidR="00997B1D" w:rsidRDefault="00997B1D">
      <w:r>
        <w:separator/>
      </w:r>
    </w:p>
  </w:footnote>
  <w:footnote w:type="continuationSeparator" w:id="0">
    <w:p w14:paraId="22D556E4" w14:textId="77777777" w:rsidR="00997B1D" w:rsidRDefault="0099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C705" w14:textId="77777777" w:rsidR="00E85C86" w:rsidRPr="007E1176" w:rsidRDefault="004030DE">
    <w:pPr>
      <w:jc w:val="right"/>
      <w:rPr>
        <w:sz w:val="20"/>
        <w:szCs w:val="20"/>
      </w:rPr>
    </w:pPr>
    <w:r w:rsidRPr="007E1176">
      <w:rPr>
        <w:color w:val="4A5568"/>
        <w:spacing w:val="120"/>
        <w:sz w:val="20"/>
        <w:szCs w:val="20"/>
      </w:rPr>
      <w:t>NOTA DE IMPRENSA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0B25"/>
    <w:multiLevelType w:val="hybridMultilevel"/>
    <w:tmpl w:val="B66CDB96"/>
    <w:lvl w:ilvl="0" w:tplc="C3D6822E">
      <w:start w:val="1"/>
      <w:numFmt w:val="bullet"/>
      <w:lvlText w:val="●"/>
      <w:lvlJc w:val="left"/>
      <w:pPr>
        <w:ind w:left="720" w:hanging="360"/>
      </w:pPr>
    </w:lvl>
    <w:lvl w:ilvl="1" w:tplc="81643BE4">
      <w:start w:val="1"/>
      <w:numFmt w:val="bullet"/>
      <w:lvlText w:val="○"/>
      <w:lvlJc w:val="left"/>
      <w:pPr>
        <w:ind w:left="1440" w:hanging="360"/>
      </w:pPr>
    </w:lvl>
    <w:lvl w:ilvl="2" w:tplc="064607F8">
      <w:start w:val="1"/>
      <w:numFmt w:val="bullet"/>
      <w:lvlText w:val="■"/>
      <w:lvlJc w:val="left"/>
      <w:pPr>
        <w:ind w:left="2160" w:hanging="360"/>
      </w:pPr>
    </w:lvl>
    <w:lvl w:ilvl="3" w:tplc="F2D8CEA4">
      <w:start w:val="1"/>
      <w:numFmt w:val="bullet"/>
      <w:lvlText w:val="●"/>
      <w:lvlJc w:val="left"/>
      <w:pPr>
        <w:ind w:left="2880" w:hanging="360"/>
      </w:pPr>
    </w:lvl>
    <w:lvl w:ilvl="4" w:tplc="01A682AE">
      <w:start w:val="1"/>
      <w:numFmt w:val="bullet"/>
      <w:lvlText w:val="○"/>
      <w:lvlJc w:val="left"/>
      <w:pPr>
        <w:ind w:left="3600" w:hanging="360"/>
      </w:pPr>
    </w:lvl>
    <w:lvl w:ilvl="5" w:tplc="AC943EE4">
      <w:start w:val="1"/>
      <w:numFmt w:val="bullet"/>
      <w:lvlText w:val="■"/>
      <w:lvlJc w:val="left"/>
      <w:pPr>
        <w:ind w:left="4320" w:hanging="360"/>
      </w:pPr>
    </w:lvl>
    <w:lvl w:ilvl="6" w:tplc="2548922E">
      <w:start w:val="1"/>
      <w:numFmt w:val="bullet"/>
      <w:lvlText w:val="●"/>
      <w:lvlJc w:val="left"/>
      <w:pPr>
        <w:ind w:left="5040" w:hanging="360"/>
      </w:pPr>
    </w:lvl>
    <w:lvl w:ilvl="7" w:tplc="6460407E">
      <w:start w:val="1"/>
      <w:numFmt w:val="bullet"/>
      <w:lvlText w:val="●"/>
      <w:lvlJc w:val="left"/>
      <w:pPr>
        <w:ind w:left="5760" w:hanging="360"/>
      </w:pPr>
    </w:lvl>
    <w:lvl w:ilvl="8" w:tplc="9DC6434A">
      <w:start w:val="1"/>
      <w:numFmt w:val="bullet"/>
      <w:lvlText w:val="●"/>
      <w:lvlJc w:val="left"/>
      <w:pPr>
        <w:ind w:left="6480" w:hanging="360"/>
      </w:pPr>
    </w:lvl>
  </w:abstractNum>
  <w:num w:numId="1" w16cid:durableId="1868837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86"/>
    <w:rsid w:val="000A706E"/>
    <w:rsid w:val="000B4CB2"/>
    <w:rsid w:val="0014387A"/>
    <w:rsid w:val="001B1AF5"/>
    <w:rsid w:val="001E06A8"/>
    <w:rsid w:val="002234EA"/>
    <w:rsid w:val="002D6F08"/>
    <w:rsid w:val="00335A68"/>
    <w:rsid w:val="003D2C87"/>
    <w:rsid w:val="004030DE"/>
    <w:rsid w:val="00497B34"/>
    <w:rsid w:val="004A7BBA"/>
    <w:rsid w:val="004D3459"/>
    <w:rsid w:val="007C0706"/>
    <w:rsid w:val="007E1176"/>
    <w:rsid w:val="00833F88"/>
    <w:rsid w:val="00893AC8"/>
    <w:rsid w:val="00997B1D"/>
    <w:rsid w:val="00A52421"/>
    <w:rsid w:val="00A952A6"/>
    <w:rsid w:val="00C1133E"/>
    <w:rsid w:val="00C64DE5"/>
    <w:rsid w:val="00DD4E59"/>
    <w:rsid w:val="00E31D95"/>
    <w:rsid w:val="00E42F7C"/>
    <w:rsid w:val="00E63EBC"/>
    <w:rsid w:val="00E77441"/>
    <w:rsid w:val="00E85C86"/>
    <w:rsid w:val="00EB67BD"/>
    <w:rsid w:val="00E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6372"/>
  <w15:docId w15:val="{8656DA5F-225E-4DD3-B248-ED885E6D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paragraph" w:styleId="Reviso">
    <w:name w:val="Revision"/>
    <w:hidden/>
    <w:uiPriority w:val="99"/>
    <w:semiHidden/>
    <w:rsid w:val="00E63EBC"/>
  </w:style>
  <w:style w:type="character" w:styleId="Refdecomentrio">
    <w:name w:val="annotation reference"/>
    <w:basedOn w:val="Tipodeletrapredefinidodopargrafo"/>
    <w:uiPriority w:val="99"/>
    <w:semiHidden/>
    <w:unhideWhenUsed/>
    <w:rsid w:val="000B4C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B4CB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B4CB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B4C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B4CB2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97B3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7E11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1176"/>
  </w:style>
  <w:style w:type="paragraph" w:styleId="Rodap">
    <w:name w:val="footer"/>
    <w:basedOn w:val="Normal"/>
    <w:link w:val="RodapCarter"/>
    <w:uiPriority w:val="99"/>
    <w:unhideWhenUsed/>
    <w:rsid w:val="007E11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José Alexandre Camacho de Caires</cp:lastModifiedBy>
  <cp:revision>19</cp:revision>
  <dcterms:created xsi:type="dcterms:W3CDTF">2026-03-25T12:19:00Z</dcterms:created>
  <dcterms:modified xsi:type="dcterms:W3CDTF">2026-03-26T11:20:00Z</dcterms:modified>
</cp:coreProperties>
</file>