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C2CD1" w14:textId="0C15CACC" w:rsidR="00661E90" w:rsidRDefault="00EE40FE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Hlk527818309"/>
      <w:r>
        <w:rPr>
          <w:rFonts w:ascii="Arial" w:hAnsi="Arial" w:cs="Arial"/>
          <w:b/>
          <w:sz w:val="32"/>
          <w:szCs w:val="32"/>
        </w:rPr>
        <w:t>Secretaria Regional das Finanças</w:t>
      </w:r>
    </w:p>
    <w:p w14:paraId="1321A9CF" w14:textId="77777777" w:rsidR="00636F1A" w:rsidRPr="00F216DE" w:rsidRDefault="00636F1A" w:rsidP="00636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0300A2B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3E02EEF6" w14:textId="77777777" w:rsidR="00661E90" w:rsidRPr="00F216DE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119616F5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5FB6256" w14:textId="3D862433" w:rsidR="00661E90" w:rsidRDefault="00383BB8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Entidade Orçamental, do Tesouro e Finanças</w:t>
      </w:r>
    </w:p>
    <w:p w14:paraId="57F852F6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C937969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70A5AD5F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1EF91C03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5B4545D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0215533F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07275B1A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0BDEA54E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777855EC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E85434F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39741B52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3648E8AA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26128D5D" w14:textId="77777777" w:rsidR="00661E90" w:rsidRDefault="00661E90" w:rsidP="00661E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Conta da Região Autónoma da Madeira</w:t>
      </w:r>
    </w:p>
    <w:p w14:paraId="30C5E6D4" w14:textId="0381352A" w:rsidR="00661E90" w:rsidRDefault="00661E90" w:rsidP="00661E90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Ano 20</w:t>
      </w:r>
      <w:r w:rsidR="00F32738">
        <w:rPr>
          <w:rFonts w:ascii="Arial" w:hAnsi="Arial" w:cs="Arial"/>
          <w:sz w:val="44"/>
          <w:szCs w:val="44"/>
        </w:rPr>
        <w:t>2</w:t>
      </w:r>
      <w:r w:rsidR="003F38E8">
        <w:rPr>
          <w:rFonts w:ascii="Arial" w:hAnsi="Arial" w:cs="Arial"/>
          <w:sz w:val="44"/>
          <w:szCs w:val="44"/>
        </w:rPr>
        <w:t>5</w:t>
      </w:r>
    </w:p>
    <w:p w14:paraId="333515C7" w14:textId="77777777" w:rsidR="00661E90" w:rsidRDefault="00661E90" w:rsidP="00661E90">
      <w:pPr>
        <w:jc w:val="center"/>
        <w:rPr>
          <w:rFonts w:ascii="Arial" w:hAnsi="Arial" w:cs="Arial"/>
          <w:sz w:val="44"/>
          <w:szCs w:val="44"/>
        </w:rPr>
      </w:pPr>
    </w:p>
    <w:p w14:paraId="16914711" w14:textId="77777777" w:rsidR="00661E90" w:rsidRPr="00096998" w:rsidRDefault="00661E90" w:rsidP="00661E90">
      <w:pPr>
        <w:jc w:val="center"/>
        <w:rPr>
          <w:rFonts w:ascii="Arial" w:hAnsi="Arial" w:cs="Arial"/>
          <w:sz w:val="40"/>
          <w:szCs w:val="40"/>
        </w:rPr>
      </w:pPr>
      <w:r w:rsidRPr="00096998">
        <w:rPr>
          <w:rFonts w:ascii="Arial" w:hAnsi="Arial" w:cs="Arial"/>
          <w:sz w:val="40"/>
          <w:szCs w:val="40"/>
        </w:rPr>
        <w:t>Volume I – Relatório e Anexos</w:t>
      </w:r>
    </w:p>
    <w:p w14:paraId="5E600D7F" w14:textId="77777777" w:rsidR="00661E90" w:rsidRDefault="00661E90" w:rsidP="00661E90">
      <w:pPr>
        <w:jc w:val="center"/>
        <w:rPr>
          <w:rFonts w:ascii="Arial" w:hAnsi="Arial" w:cs="Arial"/>
          <w:sz w:val="44"/>
          <w:szCs w:val="44"/>
        </w:rPr>
      </w:pPr>
    </w:p>
    <w:p w14:paraId="25F2B56D" w14:textId="77777777" w:rsidR="00661E90" w:rsidRDefault="00661E90" w:rsidP="00661E90">
      <w:pPr>
        <w:jc w:val="center"/>
        <w:rPr>
          <w:rFonts w:ascii="Arial" w:hAnsi="Arial" w:cs="Arial"/>
          <w:sz w:val="44"/>
          <w:szCs w:val="44"/>
        </w:rPr>
      </w:pPr>
    </w:p>
    <w:p w14:paraId="6B26ECD6" w14:textId="77777777" w:rsidR="00661E90" w:rsidRDefault="00661E90" w:rsidP="00661E90">
      <w:pPr>
        <w:jc w:val="center"/>
        <w:rPr>
          <w:rFonts w:ascii="Arial" w:hAnsi="Arial" w:cs="Arial"/>
          <w:sz w:val="44"/>
          <w:szCs w:val="44"/>
        </w:rPr>
      </w:pPr>
    </w:p>
    <w:p w14:paraId="4F58D091" w14:textId="77777777" w:rsidR="00661E90" w:rsidRDefault="00661E90" w:rsidP="00661E90">
      <w:pPr>
        <w:jc w:val="center"/>
        <w:rPr>
          <w:rFonts w:ascii="Arial" w:hAnsi="Arial" w:cs="Arial"/>
          <w:sz w:val="44"/>
          <w:szCs w:val="44"/>
        </w:rPr>
      </w:pPr>
    </w:p>
    <w:p w14:paraId="1D462A36" w14:textId="77777777" w:rsidR="00661E90" w:rsidRDefault="00661E90" w:rsidP="00661E90">
      <w:pPr>
        <w:jc w:val="center"/>
        <w:rPr>
          <w:rFonts w:ascii="Arial" w:hAnsi="Arial" w:cs="Arial"/>
          <w:sz w:val="44"/>
          <w:szCs w:val="44"/>
        </w:rPr>
      </w:pPr>
    </w:p>
    <w:p w14:paraId="27CE23CC" w14:textId="77777777" w:rsidR="00661E90" w:rsidRDefault="00661E90" w:rsidP="00661E90">
      <w:pPr>
        <w:jc w:val="center"/>
        <w:rPr>
          <w:rFonts w:ascii="Arial" w:hAnsi="Arial" w:cs="Arial"/>
          <w:sz w:val="44"/>
          <w:szCs w:val="44"/>
        </w:rPr>
      </w:pPr>
    </w:p>
    <w:p w14:paraId="2A401C35" w14:textId="77777777" w:rsidR="00661E90" w:rsidRDefault="00661E90" w:rsidP="00661E90">
      <w:pPr>
        <w:jc w:val="center"/>
      </w:pPr>
      <w:r>
        <w:rPr>
          <w:rFonts w:ascii="Arial" w:hAnsi="Arial" w:cs="Arial"/>
          <w:sz w:val="40"/>
          <w:szCs w:val="40"/>
        </w:rPr>
        <w:t>E</w:t>
      </w:r>
      <w:r>
        <w:rPr>
          <w:rFonts w:ascii="Arial" w:hAnsi="Arial" w:cs="Arial"/>
          <w:sz w:val="32"/>
          <w:szCs w:val="32"/>
        </w:rPr>
        <w:t xml:space="preserve">LEMENTOS </w:t>
      </w:r>
      <w:r>
        <w:rPr>
          <w:rFonts w:ascii="Arial" w:hAnsi="Arial" w:cs="Arial"/>
          <w:sz w:val="40"/>
          <w:szCs w:val="40"/>
        </w:rPr>
        <w:t>R</w:t>
      </w:r>
      <w:r>
        <w:rPr>
          <w:rFonts w:ascii="Arial" w:hAnsi="Arial" w:cs="Arial"/>
          <w:sz w:val="32"/>
          <w:szCs w:val="32"/>
        </w:rPr>
        <w:t>EVISTOS</w:t>
      </w:r>
    </w:p>
    <w:p w14:paraId="7886E196" w14:textId="77777777" w:rsidR="00661E90" w:rsidRDefault="00661E90" w:rsidP="0027428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69892A81" w14:textId="77777777" w:rsidR="00661E90" w:rsidRDefault="00661E90" w:rsidP="0027428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4E30902C" w14:textId="77777777" w:rsidR="00DE0F79" w:rsidRDefault="00DE0F79" w:rsidP="0027428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3817C4BF" w14:textId="77777777" w:rsidR="00DE0F79" w:rsidRDefault="00DE0F7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  <w:bookmarkEnd w:id="0"/>
    </w:p>
    <w:p w14:paraId="02E3A849" w14:textId="1E90E3D0" w:rsidR="00A61F6E" w:rsidRPr="00711DD3" w:rsidRDefault="00A61F6E" w:rsidP="00A61F6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61F6E">
        <w:rPr>
          <w:rFonts w:ascii="Arial" w:hAnsi="Arial" w:cs="Arial"/>
          <w:sz w:val="18"/>
          <w:szCs w:val="18"/>
        </w:rPr>
        <w:lastRenderedPageBreak/>
        <w:t>Indicam-se as componentes da Conta da Região Autónoma da Madeira de 20</w:t>
      </w:r>
      <w:r w:rsidR="00F32738">
        <w:rPr>
          <w:rFonts w:ascii="Arial" w:hAnsi="Arial" w:cs="Arial"/>
          <w:sz w:val="18"/>
          <w:szCs w:val="18"/>
        </w:rPr>
        <w:t>2</w:t>
      </w:r>
      <w:r w:rsidR="00383BB8">
        <w:rPr>
          <w:rFonts w:ascii="Arial" w:hAnsi="Arial" w:cs="Arial"/>
          <w:sz w:val="18"/>
          <w:szCs w:val="18"/>
        </w:rPr>
        <w:t>5</w:t>
      </w:r>
      <w:r w:rsidRPr="00A61F6E">
        <w:rPr>
          <w:rFonts w:ascii="Arial" w:hAnsi="Arial" w:cs="Arial"/>
          <w:sz w:val="18"/>
          <w:szCs w:val="18"/>
        </w:rPr>
        <w:t xml:space="preserve"> (CRAM 20</w:t>
      </w:r>
      <w:r w:rsidR="00F32738">
        <w:rPr>
          <w:rFonts w:ascii="Arial" w:hAnsi="Arial" w:cs="Arial"/>
          <w:sz w:val="18"/>
          <w:szCs w:val="18"/>
        </w:rPr>
        <w:t>2</w:t>
      </w:r>
      <w:r w:rsidR="00383BB8">
        <w:rPr>
          <w:rFonts w:ascii="Arial" w:hAnsi="Arial" w:cs="Arial"/>
          <w:sz w:val="18"/>
          <w:szCs w:val="18"/>
        </w:rPr>
        <w:t>5</w:t>
      </w:r>
      <w:r w:rsidRPr="00A61F6E">
        <w:rPr>
          <w:rFonts w:ascii="Arial" w:hAnsi="Arial" w:cs="Arial"/>
          <w:sz w:val="18"/>
          <w:szCs w:val="18"/>
        </w:rPr>
        <w:t xml:space="preserve">) que carecem </w:t>
      </w:r>
      <w:r w:rsidRPr="00711DD3">
        <w:rPr>
          <w:rFonts w:ascii="Arial" w:hAnsi="Arial" w:cs="Arial"/>
          <w:sz w:val="18"/>
          <w:szCs w:val="18"/>
        </w:rPr>
        <w:t>de correção, com identificação da componente, capítulo, página e parágrafo ou quadro:</w:t>
      </w:r>
    </w:p>
    <w:p w14:paraId="5A423BFF" w14:textId="5619566D" w:rsidR="00711DD3" w:rsidRPr="00711DD3" w:rsidRDefault="00711DD3" w:rsidP="00383BB8">
      <w:pPr>
        <w:pStyle w:val="Legenda"/>
        <w:jc w:val="both"/>
        <w:rPr>
          <w:rFonts w:ascii="Arial" w:hAnsi="Arial" w:cs="Arial"/>
          <w:b w:val="0"/>
          <w:sz w:val="18"/>
          <w:szCs w:val="18"/>
        </w:rPr>
      </w:pPr>
      <w:bookmarkStart w:id="1" w:name="_Toc235088985"/>
      <w:r w:rsidRPr="00711DD3">
        <w:rPr>
          <w:rFonts w:ascii="Arial" w:hAnsi="Arial" w:cs="Arial"/>
          <w:b w:val="0"/>
          <w:sz w:val="18"/>
          <w:szCs w:val="18"/>
        </w:rPr>
        <w:t xml:space="preserve">Subcapítulo 3.1 </w:t>
      </w:r>
      <w:r w:rsidRPr="00711DD3">
        <w:rPr>
          <w:rFonts w:ascii="Arial" w:hAnsi="Arial" w:cs="Arial"/>
          <w:b w:val="0"/>
          <w:smallCaps/>
          <w:sz w:val="18"/>
          <w:szCs w:val="18"/>
        </w:rPr>
        <w:t xml:space="preserve">Ótica da contabilidade pública, </w:t>
      </w:r>
      <w:r w:rsidRPr="00711DD3">
        <w:rPr>
          <w:rFonts w:ascii="Arial" w:hAnsi="Arial" w:cs="Arial"/>
          <w:b w:val="0"/>
          <w:sz w:val="18"/>
          <w:szCs w:val="18"/>
        </w:rPr>
        <w:t xml:space="preserve">primeiro parágrafo da página 51 </w:t>
      </w:r>
      <w:r w:rsidRPr="00711DD3">
        <w:rPr>
          <w:rFonts w:ascii="Arial" w:hAnsi="Arial" w:cs="Arial"/>
          <w:b w:val="0"/>
          <w:sz w:val="18"/>
          <w:szCs w:val="18"/>
        </w:rPr>
        <w:t>do Volume I, Relatório e Anexos da Conta da RAM de 2025:</w:t>
      </w:r>
    </w:p>
    <w:p w14:paraId="5C94FAB8" w14:textId="77777777" w:rsidR="00711DD3" w:rsidRPr="00711DD3" w:rsidRDefault="00711DD3" w:rsidP="00383BB8">
      <w:pPr>
        <w:pStyle w:val="Legenda"/>
        <w:jc w:val="both"/>
        <w:rPr>
          <w:rFonts w:ascii="Arial" w:hAnsi="Arial" w:cs="Arial"/>
          <w:b w:val="0"/>
          <w:sz w:val="18"/>
          <w:szCs w:val="18"/>
        </w:rPr>
      </w:pPr>
    </w:p>
    <w:p w14:paraId="339F3F90" w14:textId="46096815" w:rsidR="00711DD3" w:rsidRPr="001E047D" w:rsidRDefault="00711DD3" w:rsidP="001E047D">
      <w:pPr>
        <w:spacing w:after="120"/>
        <w:rPr>
          <w:rFonts w:ascii="Arial" w:hAnsi="Arial" w:cs="Arial"/>
          <w:sz w:val="18"/>
          <w:szCs w:val="18"/>
          <w:lang w:eastAsia="pt-PT"/>
        </w:rPr>
      </w:pPr>
      <w:r w:rsidRPr="001E047D">
        <w:rPr>
          <w:rFonts w:ascii="Arial" w:hAnsi="Arial" w:cs="Arial"/>
          <w:sz w:val="18"/>
          <w:szCs w:val="18"/>
          <w:lang w:eastAsia="pt-PT"/>
        </w:rPr>
        <w:t>Onde se lê:</w:t>
      </w:r>
    </w:p>
    <w:p w14:paraId="246F6644" w14:textId="77777777" w:rsidR="00711DD3" w:rsidRPr="00711DD3" w:rsidRDefault="00711DD3" w:rsidP="001E047D">
      <w:pPr>
        <w:spacing w:after="120"/>
        <w:rPr>
          <w:rFonts w:ascii="Arial" w:hAnsi="Arial" w:cs="Arial"/>
          <w:sz w:val="18"/>
          <w:szCs w:val="18"/>
          <w:lang w:eastAsia="pt-PT"/>
        </w:rPr>
      </w:pPr>
      <w:r w:rsidRPr="00711DD3">
        <w:rPr>
          <w:rFonts w:ascii="Arial" w:hAnsi="Arial" w:cs="Arial"/>
          <w:sz w:val="18"/>
          <w:szCs w:val="18"/>
          <w:lang w:eastAsia="pt-PT"/>
        </w:rPr>
        <w:t xml:space="preserve">(…) </w:t>
      </w:r>
      <w:r w:rsidRPr="00711DD3">
        <w:rPr>
          <w:rFonts w:ascii="Arial" w:hAnsi="Arial" w:cs="Arial"/>
          <w:sz w:val="18"/>
          <w:szCs w:val="18"/>
          <w:lang w:eastAsia="pt-PT"/>
        </w:rPr>
        <w:t xml:space="preserve">Acrescendo a este valor o saldo de </w:t>
      </w:r>
      <w:r w:rsidRPr="001E047D">
        <w:rPr>
          <w:rFonts w:ascii="Arial" w:hAnsi="Arial" w:cs="Arial"/>
          <w:sz w:val="18"/>
          <w:szCs w:val="18"/>
          <w:lang w:eastAsia="pt-PT"/>
        </w:rPr>
        <w:t>Operações extraorçamentais</w:t>
      </w:r>
      <w:r w:rsidRPr="00711DD3">
        <w:rPr>
          <w:rFonts w:ascii="Arial" w:hAnsi="Arial" w:cs="Arial"/>
          <w:sz w:val="18"/>
          <w:szCs w:val="18"/>
          <w:lang w:eastAsia="pt-PT"/>
        </w:rPr>
        <w:t>, de cerca de 3,3 milhões de euros, obtém-se um saldo global de tesouraria no valor de 231,1 milhões de euros.</w:t>
      </w:r>
    </w:p>
    <w:p w14:paraId="5EA440A2" w14:textId="77777777" w:rsidR="00711DD3" w:rsidRPr="00711DD3" w:rsidRDefault="00711DD3" w:rsidP="00711DD3">
      <w:pPr>
        <w:rPr>
          <w:rFonts w:ascii="Arial" w:hAnsi="Arial" w:cs="Arial"/>
          <w:sz w:val="18"/>
          <w:szCs w:val="18"/>
          <w:lang w:eastAsia="pt-PT"/>
        </w:rPr>
      </w:pPr>
      <w:r w:rsidRPr="00711DD3">
        <w:rPr>
          <w:rFonts w:ascii="Arial" w:hAnsi="Arial" w:cs="Arial"/>
          <w:sz w:val="18"/>
          <w:szCs w:val="18"/>
          <w:lang w:eastAsia="pt-PT"/>
        </w:rPr>
        <w:t xml:space="preserve"> </w:t>
      </w:r>
    </w:p>
    <w:p w14:paraId="6EB3188B" w14:textId="01A9801B" w:rsidR="00711DD3" w:rsidRPr="00711DD3" w:rsidRDefault="00711DD3" w:rsidP="001E047D">
      <w:pPr>
        <w:spacing w:after="120"/>
        <w:rPr>
          <w:rFonts w:ascii="Arial" w:hAnsi="Arial" w:cs="Arial"/>
          <w:sz w:val="18"/>
          <w:szCs w:val="18"/>
          <w:lang w:eastAsia="pt-PT"/>
        </w:rPr>
      </w:pPr>
      <w:r w:rsidRPr="00711DD3">
        <w:rPr>
          <w:rFonts w:ascii="Arial" w:hAnsi="Arial" w:cs="Arial"/>
          <w:sz w:val="18"/>
          <w:szCs w:val="18"/>
          <w:lang w:eastAsia="pt-PT"/>
        </w:rPr>
        <w:t>Deve ler-se:</w:t>
      </w:r>
    </w:p>
    <w:p w14:paraId="54DE9729" w14:textId="3CD8BAF2" w:rsidR="00711DD3" w:rsidRPr="00711DD3" w:rsidRDefault="00711DD3" w:rsidP="001E047D">
      <w:pPr>
        <w:spacing w:after="120"/>
        <w:rPr>
          <w:rFonts w:ascii="Arial" w:hAnsi="Arial" w:cs="Arial"/>
          <w:sz w:val="18"/>
          <w:szCs w:val="18"/>
        </w:rPr>
      </w:pPr>
      <w:r w:rsidRPr="00711DD3">
        <w:rPr>
          <w:rFonts w:ascii="Arial" w:hAnsi="Arial" w:cs="Arial"/>
          <w:sz w:val="18"/>
          <w:szCs w:val="18"/>
          <w:lang w:eastAsia="pt-PT"/>
        </w:rPr>
        <w:t xml:space="preserve">(…) </w:t>
      </w:r>
      <w:r w:rsidRPr="00711DD3">
        <w:rPr>
          <w:rFonts w:ascii="Arial" w:hAnsi="Arial" w:cs="Arial"/>
          <w:sz w:val="18"/>
          <w:szCs w:val="18"/>
        </w:rPr>
        <w:t xml:space="preserve">Acrescendo a este valor o saldo de </w:t>
      </w:r>
      <w:r w:rsidRPr="00711DD3">
        <w:rPr>
          <w:rFonts w:ascii="Arial" w:hAnsi="Arial" w:cs="Arial"/>
          <w:i/>
          <w:iCs/>
          <w:sz w:val="18"/>
          <w:szCs w:val="18"/>
        </w:rPr>
        <w:t>Operações extraorçamentais</w:t>
      </w:r>
      <w:r w:rsidRPr="00711DD3">
        <w:rPr>
          <w:rFonts w:ascii="Arial" w:hAnsi="Arial" w:cs="Arial"/>
          <w:sz w:val="18"/>
          <w:szCs w:val="18"/>
        </w:rPr>
        <w:t xml:space="preserve">, de cerca de </w:t>
      </w:r>
      <w:r w:rsidR="001E047D">
        <w:rPr>
          <w:rFonts w:ascii="Arial" w:hAnsi="Arial" w:cs="Arial"/>
          <w:sz w:val="18"/>
          <w:szCs w:val="18"/>
        </w:rPr>
        <w:t>54,5</w:t>
      </w:r>
      <w:r w:rsidRPr="00711DD3">
        <w:rPr>
          <w:rFonts w:ascii="Arial" w:hAnsi="Arial" w:cs="Arial"/>
          <w:sz w:val="18"/>
          <w:szCs w:val="18"/>
        </w:rPr>
        <w:t xml:space="preserve"> milhões de euros, obtém-se um saldo global de tesouraria no valor de </w:t>
      </w:r>
      <w:r w:rsidR="001E047D">
        <w:rPr>
          <w:rFonts w:ascii="Arial" w:hAnsi="Arial" w:cs="Arial"/>
          <w:sz w:val="18"/>
          <w:szCs w:val="18"/>
        </w:rPr>
        <w:t>282,3</w:t>
      </w:r>
      <w:r w:rsidRPr="00711DD3">
        <w:rPr>
          <w:rFonts w:ascii="Arial" w:hAnsi="Arial" w:cs="Arial"/>
          <w:sz w:val="18"/>
          <w:szCs w:val="18"/>
        </w:rPr>
        <w:t xml:space="preserve"> milhões de euros.</w:t>
      </w:r>
    </w:p>
    <w:p w14:paraId="754E7E17" w14:textId="0AC7D315" w:rsidR="00711DD3" w:rsidRPr="00711DD3" w:rsidRDefault="00711DD3" w:rsidP="001E047D">
      <w:pPr>
        <w:rPr>
          <w:rFonts w:ascii="Arial" w:hAnsi="Arial" w:cs="Arial"/>
          <w:bCs/>
          <w:smallCaps/>
          <w:sz w:val="18"/>
          <w:szCs w:val="18"/>
        </w:rPr>
      </w:pPr>
      <w:r w:rsidRPr="00711DD3">
        <w:rPr>
          <w:rFonts w:ascii="Arial" w:hAnsi="Arial" w:cs="Arial"/>
          <w:sz w:val="18"/>
          <w:szCs w:val="18"/>
          <w:lang w:eastAsia="pt-PT"/>
        </w:rPr>
        <w:t xml:space="preserve"> </w:t>
      </w:r>
    </w:p>
    <w:p w14:paraId="6ECE7BF0" w14:textId="1A8C31A6" w:rsidR="00AD7120" w:rsidRPr="00711DD3" w:rsidRDefault="00383BB8" w:rsidP="00383BB8">
      <w:pPr>
        <w:pStyle w:val="Legenda"/>
        <w:jc w:val="both"/>
        <w:rPr>
          <w:rFonts w:ascii="Arial" w:hAnsi="Arial" w:cs="Arial"/>
          <w:b w:val="0"/>
          <w:sz w:val="18"/>
          <w:szCs w:val="18"/>
        </w:rPr>
      </w:pPr>
      <w:r w:rsidRPr="00711DD3">
        <w:rPr>
          <w:rFonts w:ascii="Arial" w:hAnsi="Arial" w:cs="Arial"/>
          <w:b w:val="0"/>
          <w:smallCaps/>
          <w:sz w:val="18"/>
          <w:szCs w:val="18"/>
        </w:rPr>
        <w:t>Gráfico</w:t>
      </w:r>
      <w:r w:rsidRPr="00711DD3">
        <w:rPr>
          <w:rFonts w:ascii="Arial" w:hAnsi="Arial" w:cs="Arial"/>
          <w:b w:val="0"/>
          <w:sz w:val="18"/>
          <w:szCs w:val="18"/>
        </w:rPr>
        <w:t xml:space="preserve"> </w:t>
      </w:r>
      <w:r w:rsidR="001E047D">
        <w:rPr>
          <w:rFonts w:ascii="Arial" w:hAnsi="Arial" w:cs="Arial"/>
          <w:b w:val="0"/>
          <w:smallCaps/>
          <w:sz w:val="18"/>
          <w:szCs w:val="18"/>
        </w:rPr>
        <w:t>24</w:t>
      </w:r>
      <w:r w:rsidRPr="00711DD3">
        <w:rPr>
          <w:rFonts w:ascii="Arial" w:hAnsi="Arial" w:cs="Arial"/>
          <w:b w:val="0"/>
          <w:smallCaps/>
          <w:sz w:val="18"/>
          <w:szCs w:val="18"/>
        </w:rPr>
        <w:t xml:space="preserve"> - Conta consolidada da Região Autónoma da Madeira de 2025</w:t>
      </w:r>
      <w:bookmarkEnd w:id="1"/>
      <w:r w:rsidRPr="00711DD3">
        <w:rPr>
          <w:rFonts w:ascii="Arial" w:hAnsi="Arial" w:cs="Arial"/>
          <w:b w:val="0"/>
          <w:smallCaps/>
          <w:sz w:val="18"/>
          <w:szCs w:val="18"/>
        </w:rPr>
        <w:t>,</w:t>
      </w:r>
      <w:r w:rsidR="00AD7120" w:rsidRPr="00711DD3">
        <w:rPr>
          <w:rFonts w:ascii="Arial" w:hAnsi="Arial" w:cs="Arial"/>
          <w:b w:val="0"/>
          <w:sz w:val="18"/>
          <w:szCs w:val="18"/>
        </w:rPr>
        <w:t xml:space="preserve"> constante na página </w:t>
      </w:r>
      <w:r w:rsidRPr="00711DD3">
        <w:rPr>
          <w:rFonts w:ascii="Arial" w:hAnsi="Arial" w:cs="Arial"/>
          <w:b w:val="0"/>
          <w:sz w:val="18"/>
          <w:szCs w:val="18"/>
        </w:rPr>
        <w:t>52</w:t>
      </w:r>
      <w:r w:rsidR="00AD7120" w:rsidRPr="00711DD3">
        <w:rPr>
          <w:rFonts w:ascii="Arial" w:hAnsi="Arial" w:cs="Arial"/>
          <w:b w:val="0"/>
          <w:sz w:val="18"/>
          <w:szCs w:val="18"/>
        </w:rPr>
        <w:t xml:space="preserve">, Capítulo </w:t>
      </w:r>
      <w:r w:rsidRPr="00711DD3">
        <w:rPr>
          <w:rFonts w:ascii="Arial" w:hAnsi="Arial" w:cs="Arial"/>
          <w:b w:val="0"/>
          <w:sz w:val="18"/>
          <w:szCs w:val="18"/>
        </w:rPr>
        <w:t>3</w:t>
      </w:r>
      <w:r w:rsidR="00AD7120" w:rsidRPr="00711DD3">
        <w:rPr>
          <w:rFonts w:ascii="Arial" w:hAnsi="Arial" w:cs="Arial"/>
          <w:b w:val="0"/>
          <w:sz w:val="18"/>
          <w:szCs w:val="18"/>
        </w:rPr>
        <w:t xml:space="preserve"> do Volume I, Relatório e Anexos da Conta da RAM de 202</w:t>
      </w:r>
      <w:r w:rsidRPr="00711DD3">
        <w:rPr>
          <w:rFonts w:ascii="Arial" w:hAnsi="Arial" w:cs="Arial"/>
          <w:b w:val="0"/>
          <w:sz w:val="18"/>
          <w:szCs w:val="18"/>
        </w:rPr>
        <w:t>5</w:t>
      </w:r>
      <w:r w:rsidR="00AD7120" w:rsidRPr="00711DD3">
        <w:rPr>
          <w:rFonts w:ascii="Arial" w:hAnsi="Arial" w:cs="Arial"/>
          <w:b w:val="0"/>
          <w:sz w:val="18"/>
          <w:szCs w:val="18"/>
        </w:rPr>
        <w:t>:</w:t>
      </w:r>
    </w:p>
    <w:p w14:paraId="3FD49FD6" w14:textId="77777777" w:rsidR="00383BB8" w:rsidRPr="00711DD3" w:rsidRDefault="00383BB8" w:rsidP="00383BB8">
      <w:pPr>
        <w:rPr>
          <w:rFonts w:ascii="Arial" w:hAnsi="Arial" w:cs="Arial"/>
          <w:sz w:val="18"/>
          <w:szCs w:val="18"/>
          <w:lang w:eastAsia="pt-PT"/>
        </w:rPr>
      </w:pPr>
    </w:p>
    <w:p w14:paraId="128E3655" w14:textId="6BEDE3A7" w:rsidR="00F32738" w:rsidRPr="00711DD3" w:rsidRDefault="00AD7120" w:rsidP="00D26760">
      <w:pPr>
        <w:rPr>
          <w:rFonts w:ascii="Arial" w:hAnsi="Arial" w:cs="Arial"/>
          <w:bCs/>
          <w:sz w:val="18"/>
          <w:szCs w:val="18"/>
        </w:rPr>
      </w:pPr>
      <w:r w:rsidRPr="00711DD3">
        <w:rPr>
          <w:rFonts w:ascii="Arial" w:hAnsi="Arial" w:cs="Arial"/>
          <w:bCs/>
          <w:sz w:val="18"/>
          <w:szCs w:val="18"/>
        </w:rPr>
        <w:t>Onde se lê:</w:t>
      </w:r>
    </w:p>
    <w:p w14:paraId="6E641253" w14:textId="555C4C66" w:rsidR="00F32738" w:rsidRPr="00711DD3" w:rsidRDefault="00383BB8" w:rsidP="00EE40FE">
      <w:pPr>
        <w:jc w:val="center"/>
        <w:rPr>
          <w:rFonts w:ascii="Arial" w:hAnsi="Arial" w:cs="Arial"/>
          <w:b/>
          <w:sz w:val="18"/>
          <w:szCs w:val="18"/>
        </w:rPr>
      </w:pPr>
      <w:r w:rsidRPr="00711DD3"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0E699B90" wp14:editId="6D5D344C">
            <wp:extent cx="4583236" cy="3853542"/>
            <wp:effectExtent l="0" t="0" r="8255" b="0"/>
            <wp:docPr id="5498749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739" cy="3865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4AA29" w14:textId="77777777" w:rsidR="001E047D" w:rsidRDefault="001E047D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br w:type="page"/>
      </w:r>
    </w:p>
    <w:p w14:paraId="5C5FC28D" w14:textId="0C3F14FB" w:rsidR="00AD7120" w:rsidRPr="00711DD3" w:rsidRDefault="00AD7120" w:rsidP="00AD7120">
      <w:pPr>
        <w:jc w:val="both"/>
        <w:rPr>
          <w:rFonts w:ascii="Arial" w:hAnsi="Arial" w:cs="Arial"/>
          <w:bCs/>
          <w:sz w:val="18"/>
          <w:szCs w:val="18"/>
        </w:rPr>
      </w:pPr>
      <w:r w:rsidRPr="00711DD3">
        <w:rPr>
          <w:rFonts w:ascii="Arial" w:hAnsi="Arial" w:cs="Arial"/>
          <w:bCs/>
          <w:sz w:val="18"/>
          <w:szCs w:val="18"/>
        </w:rPr>
        <w:lastRenderedPageBreak/>
        <w:t>Deve ler-se:</w:t>
      </w:r>
    </w:p>
    <w:p w14:paraId="09C923EC" w14:textId="3902D9BF" w:rsidR="00AD7120" w:rsidRPr="00711DD3" w:rsidRDefault="001E047D" w:rsidP="001E047D">
      <w:pPr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noProof/>
          <w:sz w:val="18"/>
          <w:szCs w:val="18"/>
        </w:rPr>
        <w:drawing>
          <wp:inline distT="0" distB="0" distL="0" distR="0" wp14:anchorId="312BF644" wp14:editId="47923571">
            <wp:extent cx="3874389" cy="3257550"/>
            <wp:effectExtent l="0" t="0" r="0" b="0"/>
            <wp:docPr id="128323935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167" cy="3270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B9DB1F" w14:textId="35DD4348" w:rsidR="003F38E8" w:rsidRPr="00711DD3" w:rsidRDefault="003F38E8">
      <w:pPr>
        <w:rPr>
          <w:rFonts w:ascii="Arial" w:hAnsi="Arial" w:cs="Arial"/>
          <w:b/>
          <w:sz w:val="18"/>
          <w:szCs w:val="18"/>
        </w:rPr>
      </w:pPr>
      <w:r w:rsidRPr="00711DD3">
        <w:rPr>
          <w:rFonts w:ascii="Arial" w:hAnsi="Arial" w:cs="Arial"/>
          <w:b/>
          <w:sz w:val="18"/>
          <w:szCs w:val="18"/>
        </w:rPr>
        <w:br w:type="page"/>
      </w:r>
    </w:p>
    <w:p w14:paraId="5B591916" w14:textId="770D1A58" w:rsidR="003F38E8" w:rsidRPr="001E047D" w:rsidRDefault="003F38E8" w:rsidP="003F38E8">
      <w:pPr>
        <w:pStyle w:val="Legenda"/>
        <w:jc w:val="both"/>
        <w:rPr>
          <w:rFonts w:ascii="Arial" w:hAnsi="Arial" w:cs="Arial"/>
          <w:b w:val="0"/>
          <w:bCs w:val="0"/>
          <w:sz w:val="18"/>
          <w:szCs w:val="18"/>
        </w:rPr>
      </w:pPr>
      <w:bookmarkStart w:id="2" w:name="_Toc235088834"/>
      <w:r w:rsidRPr="001E047D">
        <w:rPr>
          <w:rFonts w:ascii="Arial" w:hAnsi="Arial" w:cs="Arial"/>
          <w:b w:val="0"/>
          <w:bCs w:val="0"/>
          <w:smallCaps/>
          <w:sz w:val="18"/>
          <w:szCs w:val="18"/>
        </w:rPr>
        <w:lastRenderedPageBreak/>
        <w:t xml:space="preserve">Quadro </w:t>
      </w:r>
      <w:r w:rsidR="001E047D" w:rsidRPr="001E047D">
        <w:rPr>
          <w:rFonts w:ascii="Arial" w:hAnsi="Arial" w:cs="Arial"/>
          <w:b w:val="0"/>
          <w:bCs w:val="0"/>
          <w:sz w:val="18"/>
          <w:szCs w:val="18"/>
        </w:rPr>
        <w:t>4</w:t>
      </w:r>
      <w:r w:rsidRPr="001E047D">
        <w:rPr>
          <w:rFonts w:ascii="Arial" w:hAnsi="Arial" w:cs="Arial"/>
          <w:b w:val="0"/>
          <w:bCs w:val="0"/>
          <w:smallCaps/>
          <w:sz w:val="18"/>
          <w:szCs w:val="18"/>
        </w:rPr>
        <w:t xml:space="preserve"> - Conta consolidada da Região Autónoma da Madeira </w:t>
      </w:r>
      <w:r w:rsidRPr="001E047D">
        <w:rPr>
          <w:rFonts w:ascii="Arial" w:hAnsi="Arial" w:cs="Arial"/>
          <w:b w:val="0"/>
          <w:bCs w:val="0"/>
          <w:smallCaps/>
          <w:sz w:val="18"/>
          <w:szCs w:val="18"/>
        </w:rPr>
        <w:t>–</w:t>
      </w:r>
      <w:r w:rsidRPr="001E047D">
        <w:rPr>
          <w:rFonts w:ascii="Arial" w:hAnsi="Arial" w:cs="Arial"/>
          <w:b w:val="0"/>
          <w:bCs w:val="0"/>
          <w:smallCaps/>
          <w:sz w:val="18"/>
          <w:szCs w:val="18"/>
        </w:rPr>
        <w:t xml:space="preserve"> 2025</w:t>
      </w:r>
      <w:bookmarkEnd w:id="2"/>
      <w:r w:rsidRPr="001E047D">
        <w:rPr>
          <w:rFonts w:ascii="Arial" w:hAnsi="Arial" w:cs="Arial"/>
          <w:b w:val="0"/>
          <w:bCs w:val="0"/>
          <w:smallCaps/>
          <w:sz w:val="18"/>
          <w:szCs w:val="18"/>
        </w:rPr>
        <w:t>,</w:t>
      </w:r>
      <w:r w:rsidRPr="001E047D">
        <w:rPr>
          <w:rFonts w:ascii="Arial" w:hAnsi="Arial" w:cs="Arial"/>
          <w:b w:val="0"/>
          <w:bCs w:val="0"/>
          <w:sz w:val="18"/>
          <w:szCs w:val="18"/>
        </w:rPr>
        <w:t xml:space="preserve"> constante na página 5</w:t>
      </w:r>
      <w:r w:rsidRPr="001E047D">
        <w:rPr>
          <w:rFonts w:ascii="Arial" w:hAnsi="Arial" w:cs="Arial"/>
          <w:b w:val="0"/>
          <w:bCs w:val="0"/>
          <w:sz w:val="18"/>
          <w:szCs w:val="18"/>
        </w:rPr>
        <w:t>3</w:t>
      </w:r>
      <w:r w:rsidRPr="001E047D">
        <w:rPr>
          <w:rFonts w:ascii="Arial" w:hAnsi="Arial" w:cs="Arial"/>
          <w:b w:val="0"/>
          <w:bCs w:val="0"/>
          <w:sz w:val="18"/>
          <w:szCs w:val="18"/>
        </w:rPr>
        <w:t>, Capítulo 3 do Volume I, Relatório e Anexos da Conta da RAM de 2025:</w:t>
      </w:r>
    </w:p>
    <w:p w14:paraId="04243823" w14:textId="77777777" w:rsidR="003F38E8" w:rsidRPr="00711DD3" w:rsidRDefault="003F38E8" w:rsidP="003F38E8">
      <w:pPr>
        <w:rPr>
          <w:rFonts w:ascii="Arial" w:hAnsi="Arial" w:cs="Arial"/>
          <w:sz w:val="18"/>
          <w:szCs w:val="18"/>
          <w:lang w:eastAsia="pt-PT"/>
        </w:rPr>
      </w:pPr>
    </w:p>
    <w:p w14:paraId="7C8A53B4" w14:textId="335C96C0" w:rsidR="003F38E8" w:rsidRDefault="003F38E8" w:rsidP="003F38E8">
      <w:pPr>
        <w:rPr>
          <w:rFonts w:ascii="Arial" w:hAnsi="Arial" w:cs="Arial"/>
          <w:sz w:val="18"/>
          <w:szCs w:val="18"/>
          <w:lang w:eastAsia="pt-PT"/>
        </w:rPr>
      </w:pPr>
      <w:r w:rsidRPr="00711DD3">
        <w:rPr>
          <w:rFonts w:ascii="Arial" w:hAnsi="Arial" w:cs="Arial"/>
          <w:bCs/>
          <w:sz w:val="18"/>
          <w:szCs w:val="18"/>
        </w:rPr>
        <w:t>Onde se lê:</w:t>
      </w:r>
      <w:r w:rsidRPr="00711DD3">
        <w:rPr>
          <w:rFonts w:ascii="Arial" w:hAnsi="Arial" w:cs="Arial"/>
          <w:bCs/>
          <w:sz w:val="18"/>
          <w:szCs w:val="18"/>
        </w:rPr>
        <w:t xml:space="preserve"> </w:t>
      </w:r>
    </w:p>
    <w:p w14:paraId="16A380CF" w14:textId="3B3AAF7E" w:rsidR="001E047D" w:rsidRPr="00711DD3" w:rsidRDefault="00863D5A" w:rsidP="001E047D">
      <w:pPr>
        <w:jc w:val="center"/>
        <w:rPr>
          <w:rFonts w:ascii="Arial" w:hAnsi="Arial" w:cs="Arial"/>
          <w:bCs/>
          <w:sz w:val="18"/>
          <w:szCs w:val="18"/>
        </w:rPr>
      </w:pPr>
      <w:r w:rsidRPr="00863D5A">
        <w:drawing>
          <wp:inline distT="0" distB="0" distL="0" distR="0" wp14:anchorId="24561C86" wp14:editId="088C0F5C">
            <wp:extent cx="4850930" cy="7747000"/>
            <wp:effectExtent l="0" t="0" r="6985" b="6350"/>
            <wp:docPr id="1191084262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738" cy="778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ACC85" w14:textId="1EF33A77" w:rsidR="003F38E8" w:rsidRDefault="003F38E8">
      <w:pPr>
        <w:rPr>
          <w:b/>
        </w:rPr>
      </w:pPr>
      <w:r w:rsidRPr="00711DD3">
        <w:rPr>
          <w:rFonts w:ascii="Arial" w:hAnsi="Arial" w:cs="Arial"/>
          <w:b/>
          <w:sz w:val="18"/>
          <w:szCs w:val="18"/>
        </w:rPr>
        <w:br w:type="page"/>
      </w:r>
    </w:p>
    <w:p w14:paraId="7416A6B1" w14:textId="5A85B851" w:rsidR="00271D65" w:rsidRPr="001E047D" w:rsidRDefault="003F38E8" w:rsidP="003F38E8">
      <w:pPr>
        <w:rPr>
          <w:rFonts w:ascii="Arial" w:hAnsi="Arial" w:cs="Arial"/>
          <w:bCs/>
          <w:sz w:val="18"/>
          <w:szCs w:val="18"/>
        </w:rPr>
      </w:pPr>
      <w:r w:rsidRPr="001E047D">
        <w:rPr>
          <w:rFonts w:ascii="Arial" w:hAnsi="Arial" w:cs="Arial"/>
          <w:bCs/>
          <w:sz w:val="18"/>
          <w:szCs w:val="18"/>
        </w:rPr>
        <w:lastRenderedPageBreak/>
        <w:t>Deve ler-se:</w:t>
      </w:r>
    </w:p>
    <w:p w14:paraId="3BB10D55" w14:textId="5B05A20A" w:rsidR="00863D5A" w:rsidRDefault="00863D5A" w:rsidP="003F38E8">
      <w:pPr>
        <w:rPr>
          <w:b/>
        </w:rPr>
      </w:pPr>
      <w:r w:rsidRPr="00863D5A">
        <w:drawing>
          <wp:inline distT="0" distB="0" distL="0" distR="0" wp14:anchorId="3CE068D9" wp14:editId="6A6FD2D7">
            <wp:extent cx="5033280" cy="8038214"/>
            <wp:effectExtent l="0" t="0" r="0" b="1270"/>
            <wp:docPr id="155412472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736" cy="805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649A8" w14:textId="77777777" w:rsidR="00863D5A" w:rsidRDefault="00863D5A">
      <w:pPr>
        <w:rPr>
          <w:b/>
        </w:rPr>
      </w:pPr>
      <w:r>
        <w:rPr>
          <w:b/>
        </w:rPr>
        <w:br w:type="page"/>
      </w:r>
    </w:p>
    <w:p w14:paraId="7ABA49FE" w14:textId="5F821DAC" w:rsidR="003F38E8" w:rsidRPr="00E07C20" w:rsidRDefault="003F38E8" w:rsidP="00E07C20">
      <w:pPr>
        <w:pStyle w:val="Legenda"/>
        <w:rPr>
          <w:rFonts w:ascii="Arial" w:hAnsi="Arial" w:cs="Arial"/>
          <w:b w:val="0"/>
          <w:bCs w:val="0"/>
          <w:sz w:val="16"/>
          <w:szCs w:val="16"/>
        </w:rPr>
      </w:pPr>
      <w:r w:rsidRPr="00E07C20">
        <w:rPr>
          <w:rFonts w:cs="Arial"/>
          <w:b w:val="0"/>
          <w:bCs w:val="0"/>
          <w:smallCaps/>
          <w:sz w:val="16"/>
          <w:szCs w:val="16"/>
        </w:rPr>
        <w:lastRenderedPageBreak/>
        <w:t xml:space="preserve">Quadro </w:t>
      </w:r>
      <w:r w:rsidR="001E047D" w:rsidRPr="00E07C20">
        <w:rPr>
          <w:rFonts w:cs="Arial"/>
          <w:b w:val="0"/>
          <w:bCs w:val="0"/>
          <w:sz w:val="16"/>
          <w:szCs w:val="16"/>
        </w:rPr>
        <w:t>5</w:t>
      </w:r>
      <w:r w:rsidRPr="00E07C20">
        <w:rPr>
          <w:rFonts w:cs="Arial"/>
          <w:b w:val="0"/>
          <w:bCs w:val="0"/>
          <w:smallCaps/>
          <w:sz w:val="16"/>
          <w:szCs w:val="16"/>
        </w:rPr>
        <w:t xml:space="preserve"> </w:t>
      </w:r>
      <w:r w:rsidR="00E07C20" w:rsidRPr="00E07C20">
        <w:rPr>
          <w:rFonts w:cs="Arial"/>
          <w:b w:val="0"/>
          <w:bCs w:val="0"/>
          <w:smallCaps/>
          <w:sz w:val="16"/>
          <w:szCs w:val="16"/>
        </w:rPr>
        <w:t>- Evolução da conta consolidada da Região Autónoma da Madeira (2024-2025)</w:t>
      </w:r>
      <w:r w:rsidRPr="00E07C20">
        <w:rPr>
          <w:rFonts w:cs="Arial"/>
          <w:b w:val="0"/>
          <w:bCs w:val="0"/>
          <w:smallCaps/>
          <w:sz w:val="16"/>
          <w:szCs w:val="16"/>
        </w:rPr>
        <w:t>,</w:t>
      </w:r>
      <w:r w:rsidRPr="00E07C20">
        <w:rPr>
          <w:rFonts w:ascii="Arial" w:hAnsi="Arial" w:cs="Arial"/>
          <w:b w:val="0"/>
          <w:bCs w:val="0"/>
          <w:sz w:val="16"/>
          <w:szCs w:val="16"/>
        </w:rPr>
        <w:t xml:space="preserve"> constante na página 5</w:t>
      </w:r>
      <w:r w:rsidR="00E07C20" w:rsidRPr="00E07C20">
        <w:rPr>
          <w:rFonts w:ascii="Arial" w:hAnsi="Arial" w:cs="Arial"/>
          <w:b w:val="0"/>
          <w:bCs w:val="0"/>
          <w:sz w:val="16"/>
          <w:szCs w:val="16"/>
        </w:rPr>
        <w:t>4</w:t>
      </w:r>
      <w:r w:rsidRPr="00E07C20">
        <w:rPr>
          <w:rFonts w:ascii="Arial" w:hAnsi="Arial" w:cs="Arial"/>
          <w:b w:val="0"/>
          <w:bCs w:val="0"/>
          <w:sz w:val="16"/>
          <w:szCs w:val="16"/>
        </w:rPr>
        <w:t>, Capítulo 3 do Volume I, Relatório e Anexos da Conta da RAM de 2025:</w:t>
      </w:r>
    </w:p>
    <w:p w14:paraId="57B59088" w14:textId="77777777" w:rsidR="003F38E8" w:rsidRDefault="003F38E8" w:rsidP="003F38E8">
      <w:pPr>
        <w:rPr>
          <w:lang w:eastAsia="pt-PT"/>
        </w:rPr>
      </w:pPr>
    </w:p>
    <w:p w14:paraId="6B76839A" w14:textId="77777777" w:rsidR="003F38E8" w:rsidRDefault="003F38E8" w:rsidP="003F38E8">
      <w:pPr>
        <w:rPr>
          <w:lang w:eastAsia="pt-PT"/>
        </w:rPr>
      </w:pPr>
      <w:r>
        <w:rPr>
          <w:rFonts w:ascii="Arial" w:hAnsi="Arial" w:cs="Arial"/>
          <w:bCs/>
          <w:sz w:val="16"/>
          <w:szCs w:val="16"/>
        </w:rPr>
        <w:t>Onde se lê</w:t>
      </w:r>
    </w:p>
    <w:p w14:paraId="08D26652" w14:textId="15CF1B3D" w:rsidR="003F38E8" w:rsidRDefault="00190754" w:rsidP="003F38E8">
      <w:pPr>
        <w:rPr>
          <w:b/>
        </w:rPr>
      </w:pPr>
      <w:r w:rsidRPr="00190754">
        <w:drawing>
          <wp:inline distT="0" distB="0" distL="0" distR="0" wp14:anchorId="2265E33B" wp14:editId="00354FEC">
            <wp:extent cx="5400040" cy="2616835"/>
            <wp:effectExtent l="0" t="0" r="0" b="0"/>
            <wp:docPr id="1731663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5CBBE" w14:textId="77777777" w:rsidR="00190754" w:rsidRDefault="00190754" w:rsidP="003F38E8">
      <w:pPr>
        <w:rPr>
          <w:b/>
        </w:rPr>
      </w:pPr>
    </w:p>
    <w:p w14:paraId="597668CF" w14:textId="378192C7" w:rsidR="00190754" w:rsidRPr="00E07C20" w:rsidRDefault="00190754" w:rsidP="003F38E8">
      <w:pPr>
        <w:rPr>
          <w:rFonts w:ascii="Arial" w:hAnsi="Arial" w:cs="Arial"/>
          <w:bCs/>
          <w:sz w:val="16"/>
          <w:szCs w:val="16"/>
        </w:rPr>
      </w:pPr>
      <w:r w:rsidRPr="00E07C20">
        <w:rPr>
          <w:rFonts w:ascii="Arial" w:hAnsi="Arial" w:cs="Arial"/>
          <w:bCs/>
          <w:sz w:val="16"/>
          <w:szCs w:val="16"/>
        </w:rPr>
        <w:t>Deve ler-se:</w:t>
      </w:r>
    </w:p>
    <w:p w14:paraId="7A35ACCE" w14:textId="7732AC37" w:rsidR="00190754" w:rsidRDefault="00E07C20" w:rsidP="003F38E8">
      <w:pPr>
        <w:rPr>
          <w:b/>
        </w:rPr>
      </w:pPr>
      <w:r w:rsidRPr="00E07C20">
        <w:drawing>
          <wp:inline distT="0" distB="0" distL="0" distR="0" wp14:anchorId="164B261F" wp14:editId="4ACA3194">
            <wp:extent cx="5400040" cy="2616200"/>
            <wp:effectExtent l="0" t="0" r="0" b="0"/>
            <wp:docPr id="152825267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1CE4D" w14:textId="77777777" w:rsidR="00190754" w:rsidRDefault="00190754" w:rsidP="003F38E8">
      <w:pPr>
        <w:rPr>
          <w:b/>
        </w:rPr>
      </w:pPr>
    </w:p>
    <w:p w14:paraId="02C5B00C" w14:textId="77777777" w:rsidR="00E07C20" w:rsidRPr="00711DD3" w:rsidRDefault="00E07C20" w:rsidP="00E07C20">
      <w:pPr>
        <w:pStyle w:val="Legenda"/>
        <w:jc w:val="both"/>
        <w:rPr>
          <w:rFonts w:ascii="Arial" w:hAnsi="Arial" w:cs="Arial"/>
          <w:b w:val="0"/>
          <w:sz w:val="18"/>
          <w:szCs w:val="18"/>
        </w:rPr>
      </w:pPr>
      <w:r w:rsidRPr="00711DD3">
        <w:rPr>
          <w:rFonts w:ascii="Arial" w:hAnsi="Arial" w:cs="Arial"/>
          <w:b w:val="0"/>
          <w:sz w:val="18"/>
          <w:szCs w:val="18"/>
        </w:rPr>
        <w:t xml:space="preserve">Subcapítulo 3.1 </w:t>
      </w:r>
      <w:r w:rsidRPr="00711DD3">
        <w:rPr>
          <w:rFonts w:ascii="Arial" w:hAnsi="Arial" w:cs="Arial"/>
          <w:b w:val="0"/>
          <w:smallCaps/>
          <w:sz w:val="18"/>
          <w:szCs w:val="18"/>
        </w:rPr>
        <w:t xml:space="preserve">Ótica da contabilidade pública, </w:t>
      </w:r>
      <w:r w:rsidRPr="00711DD3">
        <w:rPr>
          <w:rFonts w:ascii="Arial" w:hAnsi="Arial" w:cs="Arial"/>
          <w:b w:val="0"/>
          <w:sz w:val="18"/>
          <w:szCs w:val="18"/>
        </w:rPr>
        <w:t>primeiro parágrafo da página 51 do Volume I, Relatório e Anexos da Conta da RAM de 2025:</w:t>
      </w:r>
    </w:p>
    <w:p w14:paraId="74FF700F" w14:textId="77777777" w:rsidR="00E07C20" w:rsidRPr="00711DD3" w:rsidRDefault="00E07C20" w:rsidP="00E07C20">
      <w:pPr>
        <w:pStyle w:val="Legenda"/>
        <w:jc w:val="both"/>
        <w:rPr>
          <w:rFonts w:ascii="Arial" w:hAnsi="Arial" w:cs="Arial"/>
          <w:b w:val="0"/>
          <w:sz w:val="18"/>
          <w:szCs w:val="18"/>
        </w:rPr>
      </w:pPr>
    </w:p>
    <w:p w14:paraId="067AD608" w14:textId="77777777" w:rsidR="00E07C20" w:rsidRPr="001E047D" w:rsidRDefault="00E07C20" w:rsidP="00E07C20">
      <w:pPr>
        <w:spacing w:after="120"/>
        <w:rPr>
          <w:rFonts w:ascii="Arial" w:hAnsi="Arial" w:cs="Arial"/>
          <w:sz w:val="18"/>
          <w:szCs w:val="18"/>
          <w:lang w:eastAsia="pt-PT"/>
        </w:rPr>
      </w:pPr>
      <w:r w:rsidRPr="001E047D">
        <w:rPr>
          <w:rFonts w:ascii="Arial" w:hAnsi="Arial" w:cs="Arial"/>
          <w:sz w:val="18"/>
          <w:szCs w:val="18"/>
          <w:lang w:eastAsia="pt-PT"/>
        </w:rPr>
        <w:t>Onde se lê:</w:t>
      </w:r>
    </w:p>
    <w:p w14:paraId="3171AE93" w14:textId="032AE831" w:rsidR="00E07C20" w:rsidRPr="00711DD3" w:rsidRDefault="00E07C20" w:rsidP="00547681">
      <w:pPr>
        <w:spacing w:after="120"/>
        <w:jc w:val="both"/>
        <w:rPr>
          <w:rFonts w:ascii="Arial" w:hAnsi="Arial" w:cs="Arial"/>
          <w:sz w:val="18"/>
          <w:szCs w:val="18"/>
          <w:lang w:eastAsia="pt-PT"/>
        </w:rPr>
      </w:pPr>
      <w:r w:rsidRPr="00E07C20">
        <w:rPr>
          <w:rFonts w:ascii="Arial" w:hAnsi="Arial" w:cs="Arial"/>
          <w:sz w:val="18"/>
          <w:szCs w:val="18"/>
          <w:lang w:eastAsia="pt-PT"/>
        </w:rPr>
        <w:t>Confrontando os saldos orçamentais, verifica-se que o Saldo de tesouraria dos serviços integrados na APR ascendeu a 231,1 milhões de euros em 2025, o que representa um decréscimo de 7,3% face a 2024, apesar de o Saldo sem operações extraorçamentais ter registado um acréscimo de 33,4%. Esta evolução é explicada pelo Saldo de operações extraorçamentais, que diminuiu 95,9%, em parte pela utilização dos valores afetos ao Plano de Recuperação e Resiliência (PRR) no subsetor do Governo Regional.</w:t>
      </w:r>
    </w:p>
    <w:p w14:paraId="714303AF" w14:textId="3C143CFD" w:rsidR="00A2083D" w:rsidRDefault="00E07C20" w:rsidP="00E07C20">
      <w:pPr>
        <w:rPr>
          <w:rFonts w:ascii="Arial" w:hAnsi="Arial" w:cs="Arial"/>
          <w:sz w:val="18"/>
          <w:szCs w:val="18"/>
          <w:lang w:eastAsia="pt-PT"/>
        </w:rPr>
      </w:pPr>
      <w:r w:rsidRPr="00711DD3">
        <w:rPr>
          <w:rFonts w:ascii="Arial" w:hAnsi="Arial" w:cs="Arial"/>
          <w:sz w:val="18"/>
          <w:szCs w:val="18"/>
          <w:lang w:eastAsia="pt-PT"/>
        </w:rPr>
        <w:t xml:space="preserve"> </w:t>
      </w:r>
    </w:p>
    <w:p w14:paraId="6F748FAC" w14:textId="77777777" w:rsidR="00A2083D" w:rsidRDefault="00A2083D">
      <w:pPr>
        <w:rPr>
          <w:rFonts w:ascii="Arial" w:hAnsi="Arial" w:cs="Arial"/>
          <w:sz w:val="18"/>
          <w:szCs w:val="18"/>
          <w:lang w:eastAsia="pt-PT"/>
        </w:rPr>
      </w:pPr>
      <w:r>
        <w:rPr>
          <w:rFonts w:ascii="Arial" w:hAnsi="Arial" w:cs="Arial"/>
          <w:sz w:val="18"/>
          <w:szCs w:val="18"/>
          <w:lang w:eastAsia="pt-PT"/>
        </w:rPr>
        <w:br w:type="page"/>
      </w:r>
    </w:p>
    <w:p w14:paraId="32F138F3" w14:textId="77777777" w:rsidR="00E07C20" w:rsidRDefault="00E07C20" w:rsidP="00E07C20">
      <w:pPr>
        <w:spacing w:after="120"/>
        <w:rPr>
          <w:rFonts w:ascii="Arial" w:hAnsi="Arial" w:cs="Arial"/>
          <w:sz w:val="18"/>
          <w:szCs w:val="18"/>
          <w:lang w:eastAsia="pt-PT"/>
        </w:rPr>
      </w:pPr>
      <w:r w:rsidRPr="00711DD3">
        <w:rPr>
          <w:rFonts w:ascii="Arial" w:hAnsi="Arial" w:cs="Arial"/>
          <w:sz w:val="18"/>
          <w:szCs w:val="18"/>
          <w:lang w:eastAsia="pt-PT"/>
        </w:rPr>
        <w:lastRenderedPageBreak/>
        <w:t>Deve ler-se:</w:t>
      </w:r>
    </w:p>
    <w:p w14:paraId="6BA19ADD" w14:textId="22837261" w:rsidR="00547681" w:rsidRPr="00711DD3" w:rsidRDefault="00547681" w:rsidP="00547681">
      <w:pPr>
        <w:spacing w:after="120"/>
        <w:jc w:val="both"/>
        <w:rPr>
          <w:rFonts w:ascii="Arial" w:hAnsi="Arial" w:cs="Arial"/>
          <w:sz w:val="18"/>
          <w:szCs w:val="18"/>
          <w:lang w:eastAsia="pt-PT"/>
        </w:rPr>
      </w:pPr>
      <w:r w:rsidRPr="00E07C20">
        <w:rPr>
          <w:rFonts w:ascii="Arial" w:hAnsi="Arial" w:cs="Arial"/>
          <w:sz w:val="18"/>
          <w:szCs w:val="18"/>
          <w:lang w:eastAsia="pt-PT"/>
        </w:rPr>
        <w:t xml:space="preserve">Confrontando os saldos orçamentais, verifica-se que o Saldo de tesouraria da APR ascendeu a </w:t>
      </w:r>
      <w:r>
        <w:rPr>
          <w:rFonts w:ascii="Arial" w:hAnsi="Arial" w:cs="Arial"/>
          <w:sz w:val="18"/>
          <w:szCs w:val="18"/>
          <w:lang w:eastAsia="pt-PT"/>
        </w:rPr>
        <w:t>282</w:t>
      </w:r>
      <w:r w:rsidRPr="00E07C20">
        <w:rPr>
          <w:rFonts w:ascii="Arial" w:hAnsi="Arial" w:cs="Arial"/>
          <w:sz w:val="18"/>
          <w:szCs w:val="18"/>
          <w:lang w:eastAsia="pt-PT"/>
        </w:rPr>
        <w:t>,</w:t>
      </w:r>
      <w:r>
        <w:rPr>
          <w:rFonts w:ascii="Arial" w:hAnsi="Arial" w:cs="Arial"/>
          <w:sz w:val="18"/>
          <w:szCs w:val="18"/>
          <w:lang w:eastAsia="pt-PT"/>
        </w:rPr>
        <w:t>3</w:t>
      </w:r>
      <w:r w:rsidRPr="00E07C20">
        <w:rPr>
          <w:rFonts w:ascii="Arial" w:hAnsi="Arial" w:cs="Arial"/>
          <w:sz w:val="18"/>
          <w:szCs w:val="18"/>
          <w:lang w:eastAsia="pt-PT"/>
        </w:rPr>
        <w:t xml:space="preserve"> milhões de euros em 2025, o que representa um </w:t>
      </w:r>
      <w:r>
        <w:rPr>
          <w:rFonts w:ascii="Arial" w:hAnsi="Arial" w:cs="Arial"/>
          <w:sz w:val="18"/>
          <w:szCs w:val="18"/>
          <w:lang w:eastAsia="pt-PT"/>
        </w:rPr>
        <w:t>a</w:t>
      </w:r>
      <w:r w:rsidRPr="00E07C20">
        <w:rPr>
          <w:rFonts w:ascii="Arial" w:hAnsi="Arial" w:cs="Arial"/>
          <w:sz w:val="18"/>
          <w:szCs w:val="18"/>
          <w:lang w:eastAsia="pt-PT"/>
        </w:rPr>
        <w:t xml:space="preserve">créscimo de </w:t>
      </w:r>
      <w:r>
        <w:rPr>
          <w:rFonts w:ascii="Arial" w:hAnsi="Arial" w:cs="Arial"/>
          <w:sz w:val="18"/>
          <w:szCs w:val="18"/>
          <w:lang w:eastAsia="pt-PT"/>
        </w:rPr>
        <w:t>13,2</w:t>
      </w:r>
      <w:r w:rsidRPr="00E07C20">
        <w:rPr>
          <w:rFonts w:ascii="Arial" w:hAnsi="Arial" w:cs="Arial"/>
          <w:sz w:val="18"/>
          <w:szCs w:val="18"/>
          <w:lang w:eastAsia="pt-PT"/>
        </w:rPr>
        <w:t xml:space="preserve">% face a 2024, apesar de o Saldo sem operações extraorçamentais ter registado um acréscimo de 33,4%. Esta evolução é </w:t>
      </w:r>
      <w:r>
        <w:rPr>
          <w:rFonts w:ascii="Arial" w:hAnsi="Arial" w:cs="Arial"/>
          <w:sz w:val="18"/>
          <w:szCs w:val="18"/>
          <w:lang w:eastAsia="pt-PT"/>
        </w:rPr>
        <w:t>influenciad</w:t>
      </w:r>
      <w:r w:rsidR="00641CED">
        <w:rPr>
          <w:rFonts w:ascii="Arial" w:hAnsi="Arial" w:cs="Arial"/>
          <w:sz w:val="18"/>
          <w:szCs w:val="18"/>
          <w:lang w:eastAsia="pt-PT"/>
        </w:rPr>
        <w:t>a</w:t>
      </w:r>
      <w:r>
        <w:rPr>
          <w:rFonts w:ascii="Arial" w:hAnsi="Arial" w:cs="Arial"/>
          <w:sz w:val="18"/>
          <w:szCs w:val="18"/>
          <w:lang w:eastAsia="pt-PT"/>
        </w:rPr>
        <w:t xml:space="preserve"> </w:t>
      </w:r>
      <w:r w:rsidR="00641CED">
        <w:rPr>
          <w:rFonts w:ascii="Arial" w:hAnsi="Arial" w:cs="Arial"/>
          <w:sz w:val="18"/>
          <w:szCs w:val="18"/>
          <w:lang w:eastAsia="pt-PT"/>
        </w:rPr>
        <w:t>pela evolução do</w:t>
      </w:r>
      <w:r w:rsidRPr="00E07C20">
        <w:rPr>
          <w:rFonts w:ascii="Arial" w:hAnsi="Arial" w:cs="Arial"/>
          <w:sz w:val="18"/>
          <w:szCs w:val="18"/>
          <w:lang w:eastAsia="pt-PT"/>
        </w:rPr>
        <w:t xml:space="preserve"> Saldo de operações extraorçamentais, que diminuiu </w:t>
      </w:r>
      <w:r w:rsidR="00641CED">
        <w:rPr>
          <w:rFonts w:ascii="Arial" w:hAnsi="Arial" w:cs="Arial"/>
          <w:sz w:val="18"/>
          <w:szCs w:val="18"/>
          <w:lang w:eastAsia="pt-PT"/>
        </w:rPr>
        <w:t>30</w:t>
      </w:r>
      <w:r w:rsidRPr="00E07C20">
        <w:rPr>
          <w:rFonts w:ascii="Arial" w:hAnsi="Arial" w:cs="Arial"/>
          <w:sz w:val="18"/>
          <w:szCs w:val="18"/>
          <w:lang w:eastAsia="pt-PT"/>
        </w:rPr>
        <w:t>,</w:t>
      </w:r>
      <w:r w:rsidR="00641CED">
        <w:rPr>
          <w:rFonts w:ascii="Arial" w:hAnsi="Arial" w:cs="Arial"/>
          <w:sz w:val="18"/>
          <w:szCs w:val="18"/>
          <w:lang w:eastAsia="pt-PT"/>
        </w:rPr>
        <w:t>6</w:t>
      </w:r>
      <w:r w:rsidRPr="00E07C20">
        <w:rPr>
          <w:rFonts w:ascii="Arial" w:hAnsi="Arial" w:cs="Arial"/>
          <w:sz w:val="18"/>
          <w:szCs w:val="18"/>
          <w:lang w:eastAsia="pt-PT"/>
        </w:rPr>
        <w:t>%, em parte pela utilização dos valores afetos ao Plano de Recuperação e Resiliência (PRR) no subsetor do Governo Regional.</w:t>
      </w:r>
    </w:p>
    <w:p w14:paraId="56DD4C51" w14:textId="77777777" w:rsidR="00E07C20" w:rsidRDefault="00E07C20" w:rsidP="003F38E8">
      <w:pPr>
        <w:rPr>
          <w:b/>
        </w:rPr>
      </w:pPr>
    </w:p>
    <w:p w14:paraId="63399141" w14:textId="30182F99" w:rsidR="00C43867" w:rsidRDefault="00C43867" w:rsidP="003F38E8">
      <w:pPr>
        <w:rPr>
          <w:rFonts w:ascii="Arial" w:hAnsi="Arial" w:cs="Arial"/>
          <w:bCs/>
          <w:sz w:val="18"/>
          <w:szCs w:val="18"/>
        </w:rPr>
      </w:pPr>
      <w:r w:rsidRPr="00C43867">
        <w:rPr>
          <w:rFonts w:ascii="Arial" w:hAnsi="Arial" w:cs="Arial"/>
          <w:bCs/>
          <w:sz w:val="18"/>
          <w:szCs w:val="18"/>
        </w:rPr>
        <w:t xml:space="preserve">Anexo XXXV do </w:t>
      </w:r>
      <w:r w:rsidRPr="00C43867">
        <w:rPr>
          <w:rFonts w:ascii="Arial" w:hAnsi="Arial" w:cs="Arial"/>
          <w:bCs/>
          <w:sz w:val="18"/>
          <w:szCs w:val="18"/>
        </w:rPr>
        <w:t>Volume I, Relatório e Anexos da Conta da RAM de 2025:</w:t>
      </w:r>
    </w:p>
    <w:p w14:paraId="5D8CBD17" w14:textId="77777777" w:rsidR="00C43867" w:rsidRPr="001E047D" w:rsidRDefault="00C43867" w:rsidP="00C43867">
      <w:pPr>
        <w:spacing w:after="120"/>
        <w:rPr>
          <w:rFonts w:ascii="Arial" w:hAnsi="Arial" w:cs="Arial"/>
          <w:sz w:val="18"/>
          <w:szCs w:val="18"/>
          <w:lang w:eastAsia="pt-PT"/>
        </w:rPr>
      </w:pPr>
      <w:r w:rsidRPr="001E047D">
        <w:rPr>
          <w:rFonts w:ascii="Arial" w:hAnsi="Arial" w:cs="Arial"/>
          <w:sz w:val="18"/>
          <w:szCs w:val="18"/>
          <w:lang w:eastAsia="pt-PT"/>
        </w:rPr>
        <w:t>Onde se lê:</w:t>
      </w:r>
    </w:p>
    <w:p w14:paraId="3CB076EE" w14:textId="51DA8423" w:rsidR="00C43867" w:rsidRDefault="00A2083D" w:rsidP="003F38E8">
      <w:pPr>
        <w:rPr>
          <w:rFonts w:ascii="Arial" w:hAnsi="Arial" w:cs="Arial"/>
          <w:bCs/>
          <w:sz w:val="18"/>
          <w:szCs w:val="18"/>
        </w:rPr>
      </w:pPr>
      <w:r w:rsidRPr="00A2083D">
        <w:drawing>
          <wp:inline distT="0" distB="0" distL="0" distR="0" wp14:anchorId="4205971F" wp14:editId="6220EDA7">
            <wp:extent cx="5400040" cy="4848225"/>
            <wp:effectExtent l="0" t="0" r="0" b="9525"/>
            <wp:docPr id="1545913371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D500" w14:textId="41283E43" w:rsidR="00A2083D" w:rsidRDefault="00A2083D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br w:type="page"/>
      </w:r>
    </w:p>
    <w:p w14:paraId="2B3F9447" w14:textId="77777777" w:rsidR="00A2083D" w:rsidRDefault="00A2083D" w:rsidP="00A2083D">
      <w:pPr>
        <w:spacing w:after="120"/>
        <w:rPr>
          <w:rFonts w:ascii="Arial" w:hAnsi="Arial" w:cs="Arial"/>
          <w:sz w:val="18"/>
          <w:szCs w:val="18"/>
          <w:lang w:eastAsia="pt-PT"/>
        </w:rPr>
      </w:pPr>
      <w:r w:rsidRPr="00711DD3">
        <w:rPr>
          <w:rFonts w:ascii="Arial" w:hAnsi="Arial" w:cs="Arial"/>
          <w:sz w:val="18"/>
          <w:szCs w:val="18"/>
          <w:lang w:eastAsia="pt-PT"/>
        </w:rPr>
        <w:lastRenderedPageBreak/>
        <w:t>Deve ler-se:</w:t>
      </w:r>
    </w:p>
    <w:p w14:paraId="2B58FAA4" w14:textId="77777777" w:rsidR="00A2083D" w:rsidRDefault="00A2083D" w:rsidP="00A2083D">
      <w:pPr>
        <w:spacing w:after="120"/>
        <w:rPr>
          <w:rFonts w:ascii="Arial" w:hAnsi="Arial" w:cs="Arial"/>
          <w:sz w:val="18"/>
          <w:szCs w:val="18"/>
          <w:lang w:eastAsia="pt-PT"/>
        </w:rPr>
      </w:pPr>
    </w:p>
    <w:p w14:paraId="43F8CD10" w14:textId="4DC2E5AC" w:rsidR="00A2083D" w:rsidRDefault="00A2083D" w:rsidP="00A2083D">
      <w:pPr>
        <w:spacing w:after="120"/>
        <w:rPr>
          <w:rFonts w:ascii="Arial" w:hAnsi="Arial" w:cs="Arial"/>
          <w:sz w:val="18"/>
          <w:szCs w:val="18"/>
          <w:lang w:eastAsia="pt-PT"/>
        </w:rPr>
      </w:pPr>
      <w:r w:rsidRPr="00A2083D">
        <w:drawing>
          <wp:inline distT="0" distB="0" distL="0" distR="0" wp14:anchorId="05EF8A7B" wp14:editId="5BA3359D">
            <wp:extent cx="5400040" cy="4848225"/>
            <wp:effectExtent l="0" t="0" r="0" b="9525"/>
            <wp:docPr id="181198502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B58EF" w14:textId="77777777" w:rsidR="00A2083D" w:rsidRDefault="00A2083D" w:rsidP="003F38E8">
      <w:pPr>
        <w:rPr>
          <w:rFonts w:ascii="Arial" w:hAnsi="Arial" w:cs="Arial"/>
          <w:bCs/>
          <w:sz w:val="18"/>
          <w:szCs w:val="18"/>
        </w:rPr>
      </w:pPr>
    </w:p>
    <w:p w14:paraId="42C4ED91" w14:textId="3D8CB81D" w:rsidR="00A2083D" w:rsidRDefault="00A2083D" w:rsidP="00A2083D">
      <w:pPr>
        <w:rPr>
          <w:rFonts w:ascii="Arial" w:hAnsi="Arial" w:cs="Arial"/>
          <w:bCs/>
          <w:sz w:val="18"/>
          <w:szCs w:val="18"/>
        </w:rPr>
      </w:pPr>
      <w:r w:rsidRPr="00C43867">
        <w:rPr>
          <w:rFonts w:ascii="Arial" w:hAnsi="Arial" w:cs="Arial"/>
          <w:bCs/>
          <w:sz w:val="18"/>
          <w:szCs w:val="18"/>
        </w:rPr>
        <w:t>Anexo XXXV</w:t>
      </w:r>
      <w:r>
        <w:rPr>
          <w:rFonts w:ascii="Arial" w:hAnsi="Arial" w:cs="Arial"/>
          <w:bCs/>
          <w:sz w:val="18"/>
          <w:szCs w:val="18"/>
        </w:rPr>
        <w:t>I</w:t>
      </w:r>
      <w:r w:rsidRPr="00C43867">
        <w:rPr>
          <w:rFonts w:ascii="Arial" w:hAnsi="Arial" w:cs="Arial"/>
          <w:bCs/>
          <w:sz w:val="18"/>
          <w:szCs w:val="18"/>
        </w:rPr>
        <w:t xml:space="preserve"> do Volume I, Relatório e Anexos da Conta da RAM de 2025:</w:t>
      </w:r>
    </w:p>
    <w:p w14:paraId="17DABCE1" w14:textId="77777777" w:rsidR="00A2083D" w:rsidRPr="001E047D" w:rsidRDefault="00A2083D" w:rsidP="00A2083D">
      <w:pPr>
        <w:spacing w:after="120"/>
        <w:rPr>
          <w:rFonts w:ascii="Arial" w:hAnsi="Arial" w:cs="Arial"/>
          <w:sz w:val="18"/>
          <w:szCs w:val="18"/>
          <w:lang w:eastAsia="pt-PT"/>
        </w:rPr>
      </w:pPr>
      <w:r w:rsidRPr="001E047D">
        <w:rPr>
          <w:rFonts w:ascii="Arial" w:hAnsi="Arial" w:cs="Arial"/>
          <w:sz w:val="18"/>
          <w:szCs w:val="18"/>
          <w:lang w:eastAsia="pt-PT"/>
        </w:rPr>
        <w:t>Onde se lê:</w:t>
      </w:r>
    </w:p>
    <w:p w14:paraId="4B85469B" w14:textId="0AC68BFB" w:rsidR="00D56783" w:rsidRDefault="00D56783" w:rsidP="003F38E8">
      <w:pPr>
        <w:rPr>
          <w:rFonts w:ascii="Arial" w:hAnsi="Arial" w:cs="Arial"/>
          <w:bCs/>
          <w:sz w:val="18"/>
          <w:szCs w:val="18"/>
        </w:rPr>
      </w:pPr>
      <w:r w:rsidRPr="00D56783">
        <w:drawing>
          <wp:inline distT="0" distB="0" distL="0" distR="0" wp14:anchorId="75AEAAD7" wp14:editId="7B8BA73E">
            <wp:extent cx="5400040" cy="986790"/>
            <wp:effectExtent l="0" t="0" r="0" b="3810"/>
            <wp:docPr id="2095176264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BB737" w14:textId="77777777" w:rsidR="00D56783" w:rsidRDefault="00D56783" w:rsidP="003F38E8">
      <w:pPr>
        <w:rPr>
          <w:rFonts w:ascii="Arial" w:hAnsi="Arial" w:cs="Arial"/>
          <w:bCs/>
          <w:sz w:val="18"/>
          <w:szCs w:val="18"/>
        </w:rPr>
      </w:pPr>
    </w:p>
    <w:p w14:paraId="2489200F" w14:textId="77777777" w:rsidR="00D56783" w:rsidRDefault="00D56783" w:rsidP="00D56783">
      <w:pPr>
        <w:spacing w:after="120"/>
        <w:rPr>
          <w:rFonts w:ascii="Arial" w:hAnsi="Arial" w:cs="Arial"/>
          <w:sz w:val="18"/>
          <w:szCs w:val="18"/>
          <w:lang w:eastAsia="pt-PT"/>
        </w:rPr>
      </w:pPr>
      <w:r w:rsidRPr="00711DD3">
        <w:rPr>
          <w:rFonts w:ascii="Arial" w:hAnsi="Arial" w:cs="Arial"/>
          <w:sz w:val="18"/>
          <w:szCs w:val="18"/>
          <w:lang w:eastAsia="pt-PT"/>
        </w:rPr>
        <w:t>Deve ler-se:</w:t>
      </w:r>
    </w:p>
    <w:p w14:paraId="7573AF36" w14:textId="7E70EDF7" w:rsidR="00D56783" w:rsidRDefault="00D56783" w:rsidP="00D56783">
      <w:pPr>
        <w:spacing w:after="120"/>
        <w:rPr>
          <w:rFonts w:ascii="Arial" w:hAnsi="Arial" w:cs="Arial"/>
          <w:sz w:val="18"/>
          <w:szCs w:val="18"/>
          <w:lang w:eastAsia="pt-PT"/>
        </w:rPr>
      </w:pPr>
      <w:r w:rsidRPr="00D56783">
        <w:drawing>
          <wp:inline distT="0" distB="0" distL="0" distR="0" wp14:anchorId="5922A4E6" wp14:editId="3A9967B5">
            <wp:extent cx="5400040" cy="1029970"/>
            <wp:effectExtent l="0" t="0" r="0" b="0"/>
            <wp:docPr id="1884587788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0E620" w14:textId="77777777" w:rsidR="00D56783" w:rsidRPr="00C43867" w:rsidRDefault="00D56783" w:rsidP="003F38E8">
      <w:pPr>
        <w:rPr>
          <w:rFonts w:ascii="Arial" w:hAnsi="Arial" w:cs="Arial"/>
          <w:bCs/>
          <w:sz w:val="18"/>
          <w:szCs w:val="18"/>
        </w:rPr>
      </w:pPr>
    </w:p>
    <w:sectPr w:rsidR="00D56783" w:rsidRPr="00C43867">
      <w:head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BF63" w14:textId="77777777" w:rsidR="002A33E8" w:rsidRDefault="002A33E8" w:rsidP="00F94BF8">
      <w:pPr>
        <w:spacing w:after="0" w:line="240" w:lineRule="auto"/>
      </w:pPr>
      <w:r>
        <w:separator/>
      </w:r>
    </w:p>
  </w:endnote>
  <w:endnote w:type="continuationSeparator" w:id="0">
    <w:p w14:paraId="1172D1BC" w14:textId="77777777" w:rsidR="002A33E8" w:rsidRDefault="002A33E8" w:rsidP="00F9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3CE71" w14:textId="77777777" w:rsidR="002A33E8" w:rsidRDefault="002A33E8" w:rsidP="00F94BF8">
      <w:pPr>
        <w:spacing w:after="0" w:line="240" w:lineRule="auto"/>
      </w:pPr>
      <w:r>
        <w:separator/>
      </w:r>
    </w:p>
  </w:footnote>
  <w:footnote w:type="continuationSeparator" w:id="0">
    <w:p w14:paraId="579D564A" w14:textId="77777777" w:rsidR="002A33E8" w:rsidRDefault="002A33E8" w:rsidP="00F94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0F2A" w14:textId="77777777" w:rsidR="00F94BF8" w:rsidRDefault="00F94BF8" w:rsidP="00F94BF8">
    <w:pPr>
      <w:pStyle w:val="Cabealho"/>
      <w:ind w:right="3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7F"/>
    <w:multiLevelType w:val="multilevel"/>
    <w:tmpl w:val="EE4A2EDA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color w:val="auto"/>
        <w:sz w:val="48"/>
        <w:szCs w:val="72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caps w:val="0"/>
        <w:color w:val="auto"/>
        <w:sz w:val="36"/>
        <w:szCs w:val="36"/>
      </w:rPr>
    </w:lvl>
    <w:lvl w:ilvl="2">
      <w:start w:val="1"/>
      <w:numFmt w:val="decimal"/>
      <w:lvlText w:val="%1.%2.%3."/>
      <w:lvlJc w:val="left"/>
      <w:pPr>
        <w:tabs>
          <w:tab w:val="num" w:pos="1702"/>
        </w:tabs>
        <w:ind w:left="1702" w:hanging="1134"/>
      </w:pPr>
      <w:rPr>
        <w:rFonts w:ascii="Arial" w:hAnsi="Arial" w:cs="Arial" w:hint="default"/>
        <w:b/>
        <w:i w:val="0"/>
        <w:caps/>
        <w:color w:val="auto"/>
        <w:sz w:val="32"/>
        <w:szCs w:val="32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ascii="Arial Narrow" w:hAnsi="Arial Narrow" w:hint="default"/>
        <w:color w:val="0033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" w15:restartNumberingAfterBreak="0">
    <w:nsid w:val="3B9A538E"/>
    <w:multiLevelType w:val="multilevel"/>
    <w:tmpl w:val="F2BA68B2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color w:val="auto"/>
        <w:sz w:val="48"/>
        <w:szCs w:val="72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/>
        <w:i w:val="0"/>
        <w:caps w:val="0"/>
        <w:color w:val="auto"/>
        <w:sz w:val="36"/>
        <w:szCs w:val="36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/>
        <w:i w:val="0"/>
        <w:caps/>
        <w:color w:val="auto"/>
        <w:sz w:val="32"/>
        <w:szCs w:val="32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/>
        <w:i w:val="0"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ascii="Arial Narrow" w:hAnsi="Arial Narrow" w:hint="default"/>
        <w:color w:val="0033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2" w15:restartNumberingAfterBreak="0">
    <w:nsid w:val="662979C3"/>
    <w:multiLevelType w:val="hybridMultilevel"/>
    <w:tmpl w:val="DBF04572"/>
    <w:lvl w:ilvl="0" w:tplc="8F70531A">
      <w:start w:val="1"/>
      <w:numFmt w:val="decimal"/>
      <w:pStyle w:val="Cabealho21"/>
      <w:lvlText w:val="%1."/>
      <w:lvlJc w:val="left"/>
      <w:pPr>
        <w:ind w:left="106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09494315">
    <w:abstractNumId w:val="2"/>
  </w:num>
  <w:num w:numId="2" w16cid:durableId="626621336">
    <w:abstractNumId w:val="1"/>
  </w:num>
  <w:num w:numId="3" w16cid:durableId="10095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25"/>
    <w:rsid w:val="000465CF"/>
    <w:rsid w:val="000831ED"/>
    <w:rsid w:val="000A530B"/>
    <w:rsid w:val="000E28CD"/>
    <w:rsid w:val="000F1A25"/>
    <w:rsid w:val="00152D5E"/>
    <w:rsid w:val="001563F1"/>
    <w:rsid w:val="001701C8"/>
    <w:rsid w:val="00182FCD"/>
    <w:rsid w:val="00190754"/>
    <w:rsid w:val="001D08D9"/>
    <w:rsid w:val="001D0B13"/>
    <w:rsid w:val="001E047D"/>
    <w:rsid w:val="001F1546"/>
    <w:rsid w:val="0022673A"/>
    <w:rsid w:val="00271D65"/>
    <w:rsid w:val="00274288"/>
    <w:rsid w:val="002A33E8"/>
    <w:rsid w:val="002B438B"/>
    <w:rsid w:val="002E5021"/>
    <w:rsid w:val="00355E97"/>
    <w:rsid w:val="00383BB8"/>
    <w:rsid w:val="003878DB"/>
    <w:rsid w:val="003E10B6"/>
    <w:rsid w:val="003E2CE4"/>
    <w:rsid w:val="003F38E8"/>
    <w:rsid w:val="0042301C"/>
    <w:rsid w:val="0046439C"/>
    <w:rsid w:val="00495522"/>
    <w:rsid w:val="004A7013"/>
    <w:rsid w:val="004D0183"/>
    <w:rsid w:val="00530221"/>
    <w:rsid w:val="00530804"/>
    <w:rsid w:val="00547681"/>
    <w:rsid w:val="00587A2B"/>
    <w:rsid w:val="005A212A"/>
    <w:rsid w:val="005A764B"/>
    <w:rsid w:val="00636F1A"/>
    <w:rsid w:val="00641CED"/>
    <w:rsid w:val="006530B6"/>
    <w:rsid w:val="00661E90"/>
    <w:rsid w:val="00664409"/>
    <w:rsid w:val="006736A8"/>
    <w:rsid w:val="006B1273"/>
    <w:rsid w:val="00711DD3"/>
    <w:rsid w:val="00723B5A"/>
    <w:rsid w:val="00724F9F"/>
    <w:rsid w:val="00750940"/>
    <w:rsid w:val="00776F86"/>
    <w:rsid w:val="007923CF"/>
    <w:rsid w:val="007A7127"/>
    <w:rsid w:val="007D5D90"/>
    <w:rsid w:val="00805102"/>
    <w:rsid w:val="008625DD"/>
    <w:rsid w:val="00863D5A"/>
    <w:rsid w:val="00867910"/>
    <w:rsid w:val="00872183"/>
    <w:rsid w:val="00874DA9"/>
    <w:rsid w:val="00886001"/>
    <w:rsid w:val="008A5073"/>
    <w:rsid w:val="008C240C"/>
    <w:rsid w:val="008E3F76"/>
    <w:rsid w:val="00956042"/>
    <w:rsid w:val="009B3D47"/>
    <w:rsid w:val="009D0B2E"/>
    <w:rsid w:val="00A05870"/>
    <w:rsid w:val="00A06CA2"/>
    <w:rsid w:val="00A2083D"/>
    <w:rsid w:val="00A23500"/>
    <w:rsid w:val="00A257BD"/>
    <w:rsid w:val="00A44D5B"/>
    <w:rsid w:val="00A61F6E"/>
    <w:rsid w:val="00AD7120"/>
    <w:rsid w:val="00AF6C5D"/>
    <w:rsid w:val="00B71E00"/>
    <w:rsid w:val="00B94522"/>
    <w:rsid w:val="00B94993"/>
    <w:rsid w:val="00C053E7"/>
    <w:rsid w:val="00C1015D"/>
    <w:rsid w:val="00C13E88"/>
    <w:rsid w:val="00C30BA4"/>
    <w:rsid w:val="00C37115"/>
    <w:rsid w:val="00C43867"/>
    <w:rsid w:val="00C70CBB"/>
    <w:rsid w:val="00C9044C"/>
    <w:rsid w:val="00C93DCE"/>
    <w:rsid w:val="00CB5471"/>
    <w:rsid w:val="00CE01D0"/>
    <w:rsid w:val="00D12DB8"/>
    <w:rsid w:val="00D26760"/>
    <w:rsid w:val="00D278A9"/>
    <w:rsid w:val="00D56783"/>
    <w:rsid w:val="00D64270"/>
    <w:rsid w:val="00D7724B"/>
    <w:rsid w:val="00D8345C"/>
    <w:rsid w:val="00D96D65"/>
    <w:rsid w:val="00DA2F43"/>
    <w:rsid w:val="00DE0F79"/>
    <w:rsid w:val="00E07C20"/>
    <w:rsid w:val="00E12763"/>
    <w:rsid w:val="00E40B70"/>
    <w:rsid w:val="00E433EE"/>
    <w:rsid w:val="00E519F6"/>
    <w:rsid w:val="00E616F6"/>
    <w:rsid w:val="00E73777"/>
    <w:rsid w:val="00EB564A"/>
    <w:rsid w:val="00ED0007"/>
    <w:rsid w:val="00EE40FE"/>
    <w:rsid w:val="00EE7CB5"/>
    <w:rsid w:val="00F15785"/>
    <w:rsid w:val="00F32738"/>
    <w:rsid w:val="00F3344B"/>
    <w:rsid w:val="00F50ED1"/>
    <w:rsid w:val="00F94BF8"/>
    <w:rsid w:val="00FB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F4953"/>
  <w15:chartTrackingRefBased/>
  <w15:docId w15:val="{5D771E44-9834-4BD2-9180-3F45AA10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F94B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94BF8"/>
  </w:style>
  <w:style w:type="paragraph" w:styleId="Rodap">
    <w:name w:val="footer"/>
    <w:basedOn w:val="Normal"/>
    <w:link w:val="RodapCarter"/>
    <w:uiPriority w:val="99"/>
    <w:unhideWhenUsed/>
    <w:rsid w:val="00F94B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94BF8"/>
  </w:style>
  <w:style w:type="character" w:customStyle="1" w:styleId="CabealhoCarter1">
    <w:name w:val="Cabeçalho Caráter1"/>
    <w:locked/>
    <w:rsid w:val="00F94BF8"/>
    <w:rPr>
      <w:sz w:val="24"/>
      <w:szCs w:val="24"/>
    </w:rPr>
  </w:style>
  <w:style w:type="paragraph" w:customStyle="1" w:styleId="Cabealho12">
    <w:name w:val="Cabeçalho 12"/>
    <w:basedOn w:val="Normal"/>
    <w:next w:val="Normal"/>
    <w:qFormat/>
    <w:rsid w:val="008E3F7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mallCaps/>
      <w:kern w:val="32"/>
      <w:sz w:val="48"/>
      <w:szCs w:val="32"/>
      <w:lang w:eastAsia="pt-PT"/>
    </w:rPr>
  </w:style>
  <w:style w:type="paragraph" w:customStyle="1" w:styleId="Cabealho21">
    <w:name w:val="Cabeçalho 21"/>
    <w:next w:val="Normal"/>
    <w:qFormat/>
    <w:rsid w:val="008E3F76"/>
    <w:pPr>
      <w:keepNext/>
      <w:numPr>
        <w:numId w:val="1"/>
      </w:numPr>
      <w:spacing w:before="240" w:after="360" w:line="240" w:lineRule="auto"/>
      <w:outlineLvl w:val="1"/>
    </w:pPr>
    <w:rPr>
      <w:rFonts w:ascii="Arial" w:eastAsia="Times New Roman" w:hAnsi="Arial" w:cs="Arial"/>
      <w:b/>
      <w:iCs/>
      <w:smallCaps/>
      <w:kern w:val="32"/>
      <w:sz w:val="36"/>
      <w:szCs w:val="28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rsid w:val="008E3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8E3F76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rsid w:val="008E3F76"/>
    <w:rPr>
      <w:vertAlign w:val="superscript"/>
    </w:rPr>
  </w:style>
  <w:style w:type="paragraph" w:styleId="Legenda">
    <w:name w:val="caption"/>
    <w:basedOn w:val="Normal"/>
    <w:next w:val="Normal"/>
    <w:qFormat/>
    <w:rsid w:val="008E3F7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customStyle="1" w:styleId="EstiloJustificadoAntes6ptoEspaamentoentrelinhas15li">
    <w:name w:val="Estilo Justificado Antes:  6 pto Espaçamento entre linhas:  15 li..."/>
    <w:basedOn w:val="Normal"/>
    <w:rsid w:val="008E3F76"/>
    <w:pPr>
      <w:spacing w:before="120" w:after="0" w:line="360" w:lineRule="auto"/>
      <w:jc w:val="both"/>
    </w:pPr>
    <w:rPr>
      <w:rFonts w:ascii="Arial" w:eastAsia="Times New Roman" w:hAnsi="Arial" w:cs="Times New Roman"/>
      <w:sz w:val="20"/>
      <w:szCs w:val="20"/>
      <w:lang w:eastAsia="pt-PT"/>
    </w:rPr>
  </w:style>
  <w:style w:type="table" w:styleId="TabelacomGrelha">
    <w:name w:val="Table Grid"/>
    <w:basedOn w:val="Tabelanormal"/>
    <w:uiPriority w:val="39"/>
    <w:rsid w:val="00387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661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61E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83CFB-1720-4551-8722-7B8EC2DDF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10</Pages>
  <Words>445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Duarte Araujo Costa</dc:creator>
  <cp:keywords/>
  <dc:description/>
  <cp:lastModifiedBy>Hugo Duarte Araujo Costa</cp:lastModifiedBy>
  <cp:revision>4</cp:revision>
  <cp:lastPrinted>2023-08-22T16:04:00Z</cp:lastPrinted>
  <dcterms:created xsi:type="dcterms:W3CDTF">2026-07-27T08:30:00Z</dcterms:created>
  <dcterms:modified xsi:type="dcterms:W3CDTF">2026-07-27T10:41:00Z</dcterms:modified>
</cp:coreProperties>
</file>