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E85C86" w14:paraId="6CFD181B" w14:textId="77777777" w:rsidTr="00335A68">
        <w:tc>
          <w:tcPr>
            <w:tcW w:w="96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75317" w:themeFill="accent6" w:themeFillShade="80"/>
            <w:tcMar>
              <w:top w:w="350" w:type="dxa"/>
              <w:left w:w="300" w:type="dxa"/>
              <w:bottom w:w="350" w:type="dxa"/>
              <w:right w:w="300" w:type="dxa"/>
            </w:tcMar>
          </w:tcPr>
          <w:p w14:paraId="3A158770" w14:textId="63C49853" w:rsidR="00C1133E" w:rsidRDefault="00C1133E" w:rsidP="00E42F7C">
            <w:pPr>
              <w:tabs>
                <w:tab w:val="right" w:pos="9038"/>
              </w:tabs>
              <w:spacing w:after="60"/>
              <w:rPr>
                <w:color w:val="C8963E"/>
                <w:spacing w:val="20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F3FB8E6" wp14:editId="7C0F3E6F">
                  <wp:extent cx="2576286" cy="408442"/>
                  <wp:effectExtent l="0" t="0" r="0" b="0"/>
                  <wp:docPr id="140716001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6372" cy="42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C8963E"/>
                <w:spacing w:val="200"/>
                <w:sz w:val="18"/>
                <w:szCs w:val="18"/>
              </w:rPr>
              <w:tab/>
            </w:r>
          </w:p>
          <w:p w14:paraId="1149BF53" w14:textId="77777777" w:rsidR="00C1133E" w:rsidRDefault="00C1133E">
            <w:pPr>
              <w:spacing w:after="60"/>
              <w:rPr>
                <w:color w:val="C8963E"/>
                <w:spacing w:val="200"/>
                <w:sz w:val="18"/>
                <w:szCs w:val="18"/>
              </w:rPr>
            </w:pPr>
          </w:p>
          <w:p w14:paraId="1439AD46" w14:textId="6777E182" w:rsidR="00E85C86" w:rsidRPr="00A952A6" w:rsidRDefault="001E06A8">
            <w:pPr>
              <w:spacing w:after="40"/>
              <w:rPr>
                <w:color w:val="BE9B64"/>
              </w:rPr>
            </w:pPr>
            <w:r>
              <w:rPr>
                <w:b/>
                <w:bCs/>
                <w:color w:val="BE9B64"/>
                <w:sz w:val="40"/>
                <w:szCs w:val="40"/>
              </w:rPr>
              <w:t>BOLETIM DE EXECUÇÃO ORÇAMENTAL - RAM</w:t>
            </w:r>
          </w:p>
          <w:p w14:paraId="03B90B8F" w14:textId="77777777" w:rsidR="00E85C86" w:rsidRDefault="004030DE">
            <w:r>
              <w:rPr>
                <w:color w:val="A0B4CC"/>
                <w:sz w:val="22"/>
                <w:szCs w:val="22"/>
              </w:rPr>
              <w:t>Resultados acumulados até julho de 2026</w:t>
            </w:r>
          </w:p>
        </w:tc>
      </w:tr>
    </w:tbl>
    <w:p w14:paraId="4492B5A0" w14:textId="77777777" w:rsidR="00E85C86" w:rsidRDefault="00E85C86">
      <w:pPr>
        <w:spacing w:after="25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E85C86" w:rsidRPr="000A706E" w14:paraId="17A94B9B" w14:textId="77777777">
        <w:tc>
          <w:tcPr>
            <w:tcW w:w="32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4" w:space="0" w:color="E0E4EA"/>
            </w:tcBorders>
            <w:shd w:val="clear" w:color="auto" w:fill="F2F4F7"/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4B4E91AB" w14:textId="77777777" w:rsidR="00E85C86" w:rsidRDefault="004030DE">
            <w:pPr>
              <w:spacing w:after="40"/>
              <w:jc w:val="center"/>
            </w:pPr>
            <w:r>
              <w:rPr>
                <w:b/>
                <w:bCs/>
                <w:color w:val="1B365D"/>
                <w:sz w:val="44"/>
                <w:szCs w:val="44"/>
              </w:rPr>
              <w:t>41,5</w:t>
            </w:r>
          </w:p>
          <w:p w14:paraId="20371F18" w14:textId="77777777" w:rsidR="00E85C86" w:rsidRDefault="004030DE">
            <w:pPr>
              <w:spacing w:after="20"/>
              <w:jc w:val="center"/>
            </w:pPr>
            <w:r>
              <w:rPr>
                <w:color w:val="4A5568"/>
                <w:sz w:val="18"/>
                <w:szCs w:val="18"/>
              </w:rPr>
              <w:t>milhões de euros</w:t>
            </w:r>
          </w:p>
          <w:p w14:paraId="7DB0AA9D" w14:textId="77777777" w:rsidR="00E85C86" w:rsidRDefault="004030DE">
            <w:pPr>
              <w:jc w:val="center"/>
            </w:pPr>
            <w:r>
              <w:rPr>
                <w:color w:val="4A5568"/>
                <w:sz w:val="16"/>
                <w:szCs w:val="16"/>
              </w:rPr>
              <w:t>Saldo global consolidado</w:t>
            </w:r>
          </w:p>
        </w:tc>
        <w:tc>
          <w:tcPr>
            <w:tcW w:w="32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4" w:space="0" w:color="E0E4EA"/>
            </w:tcBorders>
            <w:shd w:val="clear" w:color="auto" w:fill="F2F4F7"/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7D8E5380" w14:textId="77777777" w:rsidR="00E85C86" w:rsidRDefault="004030DE">
            <w:pPr>
              <w:spacing w:after="40"/>
              <w:jc w:val="center"/>
            </w:pPr>
            <w:r>
              <w:rPr>
                <w:b/>
                <w:bCs/>
                <w:color w:val="1B365D"/>
                <w:sz w:val="44"/>
                <w:szCs w:val="44"/>
              </w:rPr>
              <w:t>1 092,1</w:t>
            </w:r>
          </w:p>
          <w:p w14:paraId="5826491D" w14:textId="77777777" w:rsidR="00E85C86" w:rsidRDefault="004030DE">
            <w:pPr>
              <w:spacing w:after="20"/>
              <w:jc w:val="center"/>
            </w:pPr>
            <w:r>
              <w:rPr>
                <w:color w:val="4A5568"/>
                <w:sz w:val="18"/>
                <w:szCs w:val="18"/>
              </w:rPr>
              <w:t>milhões de euros</w:t>
            </w:r>
          </w:p>
          <w:p w14:paraId="4FCFC1DD" w14:textId="77777777" w:rsidR="00E85C86" w:rsidRDefault="004030DE">
            <w:pPr>
              <w:jc w:val="center"/>
            </w:pPr>
            <w:r>
              <w:rPr>
                <w:color w:val="4A5568"/>
                <w:sz w:val="16"/>
                <w:szCs w:val="16"/>
              </w:rPr>
              <w:t>Receita efetiva</w:t>
            </w:r>
          </w:p>
        </w:tc>
        <w:tc>
          <w:tcPr>
            <w:tcW w:w="32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4F7"/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704D1D70" w14:textId="77777777" w:rsidR="00E85C86" w:rsidRDefault="004030DE">
            <w:pPr>
              <w:spacing w:after="40"/>
              <w:jc w:val="center"/>
            </w:pPr>
            <w:r>
              <w:rPr>
                <w:b/>
                <w:bCs/>
                <w:color w:val="1B365D"/>
                <w:sz w:val="44"/>
                <w:szCs w:val="44"/>
              </w:rPr>
              <w:t>1 050,5</w:t>
            </w:r>
          </w:p>
          <w:p w14:paraId="596F4FF1" w14:textId="77777777" w:rsidR="00E85C86" w:rsidRDefault="004030DE">
            <w:pPr>
              <w:spacing w:after="20"/>
              <w:jc w:val="center"/>
            </w:pPr>
            <w:r>
              <w:rPr>
                <w:color w:val="4A5568"/>
                <w:sz w:val="18"/>
                <w:szCs w:val="18"/>
              </w:rPr>
              <w:t>milhões de euros</w:t>
            </w:r>
          </w:p>
          <w:p w14:paraId="1E5AACF1" w14:textId="77777777" w:rsidR="00E85C86" w:rsidRDefault="004030DE">
            <w:pPr>
              <w:jc w:val="center"/>
            </w:pPr>
            <w:r>
              <w:rPr>
                <w:color w:val="4A5568"/>
                <w:sz w:val="16"/>
                <w:szCs w:val="16"/>
              </w:rPr>
              <w:t>Despesa efetiva</w:t>
            </w:r>
          </w:p>
        </w:tc>
      </w:tr>
    </w:tbl>
    <w:p w14:paraId="54C639AC" w14:textId="77777777" w:rsidR="00E85C86" w:rsidRDefault="00E85C86">
      <w:pPr>
        <w:spacing w:after="80"/>
      </w:pPr>
    </w:p>
    <w:p w14:paraId="539F5672" w14:textId="77777777" w:rsidR="00E85C86" w:rsidRDefault="004030DE">
      <w:pPr>
        <w:spacing w:after="160" w:line="300" w:lineRule="auto"/>
        <w:jc w:val="both"/>
      </w:pPr>
      <w:r>
        <w:rPr>
          <w:color w:val="2D3748"/>
        </w:rPr>
        <w:t xml:space="preserve">O Boletim de Execução Orçamental de julho de 2026 encontra-se disponível em </w:t>
      </w:r>
      <w:r>
        <w:rPr>
          <w:b/>
          <w:bCs/>
          <w:color w:val="2D3748"/>
        </w:rPr>
        <w:t>www.madeira.gov.pt/srf/</w:t>
      </w:r>
      <w:r>
        <w:rPr>
          <w:color w:val="2D3748"/>
        </w:rPr>
        <w:t>. Esta publicação mensal analisa a evolução das finanças públicas regionais, abrangendo o Governo Regional, os Serviços e Fundos Autónomos (SFA) e as Entidades Públicas Reclassificadas (EPR).</w:t>
      </w:r>
    </w:p>
    <w:p w14:paraId="22C440E3" w14:textId="77777777" w:rsidR="00E85C86" w:rsidRDefault="004030DE">
      <w:pPr>
        <w:pBdr>
          <w:left w:val="single" w:sz="18" w:space="8" w:color="C8963E"/>
        </w:pBdr>
        <w:spacing w:before="300" w:after="140"/>
        <w:ind w:left="120"/>
      </w:pPr>
      <w:r>
        <w:rPr>
          <w:b/>
          <w:bCs/>
          <w:color w:val="1B365D"/>
          <w:sz w:val="24"/>
          <w:szCs w:val="24"/>
        </w:rPr>
        <w:t>Resultado da Administração Pública Regional</w:t>
      </w:r>
    </w:p>
    <w:p w14:paraId="5DFA0666" w14:textId="1B39911B" w:rsidR="00E85C86" w:rsidRDefault="004030DE">
      <w:pPr>
        <w:spacing w:after="160" w:line="300" w:lineRule="auto"/>
        <w:jc w:val="both"/>
      </w:pPr>
      <w:r>
        <w:rPr>
          <w:color w:val="2D3748"/>
        </w:rPr>
        <w:t>No final de julho de 2026, as contas consolidadas da Administração Pública Regional apresentam um excedente de 41,5 milhões de euros. O resultado compara com o excedente de 98,4 milhões de euros apurado no mesmo período de 2025, traduzindo uma variação homóloga de -57,8%. O saldo primário atingiu 123,9 milhões de euros.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E85C86" w14:paraId="3BC1F9B8" w14:textId="77777777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BD47143" w14:textId="77777777" w:rsidR="00E85C86" w:rsidRDefault="004030DE">
            <w:pPr>
              <w:spacing w:after="30"/>
            </w:pPr>
            <w:r>
              <w:rPr>
                <w:color w:val="4A5568"/>
                <w:sz w:val="17"/>
                <w:szCs w:val="17"/>
              </w:rPr>
              <w:t>Excedente jul. 2026</w:t>
            </w:r>
          </w:p>
          <w:p w14:paraId="0009FB00" w14:textId="77777777" w:rsidR="00E85C86" w:rsidRDefault="004030DE">
            <w:r>
              <w:rPr>
                <w:b/>
                <w:bCs/>
                <w:color w:val="1B365D"/>
                <w:sz w:val="28"/>
                <w:szCs w:val="28"/>
              </w:rPr>
              <w:t>41,5 M€</w:t>
            </w: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9EED272" w14:textId="77777777" w:rsidR="00E85C86" w:rsidRDefault="004030DE">
            <w:pPr>
              <w:spacing w:after="30"/>
            </w:pPr>
            <w:r>
              <w:rPr>
                <w:color w:val="4A5568"/>
                <w:sz w:val="17"/>
                <w:szCs w:val="17"/>
              </w:rPr>
              <w:t>Excedente jul. 2025</w:t>
            </w:r>
          </w:p>
          <w:p w14:paraId="7A0C0FAB" w14:textId="77777777" w:rsidR="00E85C86" w:rsidRDefault="004030DE">
            <w:r>
              <w:rPr>
                <w:b/>
                <w:bCs/>
                <w:color w:val="1B365D"/>
                <w:sz w:val="28"/>
                <w:szCs w:val="28"/>
              </w:rPr>
              <w:t>98,4 M€</w:t>
            </w:r>
          </w:p>
        </w:tc>
      </w:tr>
    </w:tbl>
    <w:p w14:paraId="1B95CD28" w14:textId="77777777" w:rsidR="00E85C86" w:rsidRDefault="00E85C86">
      <w:pPr>
        <w:spacing w:after="40"/>
      </w:pPr>
    </w:p>
    <w:p w14:paraId="5CEC2BAE" w14:textId="77777777" w:rsidR="00E85C86" w:rsidRDefault="004030DE">
      <w:pPr>
        <w:spacing w:after="160" w:line="300" w:lineRule="auto"/>
        <w:jc w:val="both"/>
      </w:pPr>
      <w:r>
        <w:rPr>
          <w:color w:val="2D3748"/>
        </w:rPr>
        <w:t>A redução do saldo é determinada pelo subsetor do Governo Regional, que registou um excedente de 28,7 milhões de euros, face a 89,9 milhões em 2025 (-61,2 milhões). Os SFA e as EPR mantiveram-se positivos, com um excedente conjunto de 12,8 milhões de euros — 10,8 milhões dos SFA e 2,0 milhões das EPR, estas últimas com uma melhoria de 16,0 milhões face a 2025.</w:t>
      </w:r>
    </w:p>
    <w:p w14:paraId="6B549C3B" w14:textId="0A8078E0" w:rsidR="00E85C86" w:rsidRDefault="004030DE">
      <w:pPr>
        <w:pBdr>
          <w:left w:val="single" w:sz="18" w:space="8" w:color="C8963E"/>
        </w:pBdr>
        <w:spacing w:before="300" w:after="140"/>
        <w:ind w:left="120"/>
      </w:pPr>
      <w:r>
        <w:rPr>
          <w:b/>
          <w:bCs/>
          <w:color w:val="1B365D"/>
          <w:sz w:val="24"/>
          <w:szCs w:val="24"/>
        </w:rPr>
        <w:t>Receita: IVA e transferências correntes não compensam a quebra do IRC e das transferências de capital</w:t>
      </w:r>
    </w:p>
    <w:p w14:paraId="27FA8476" w14:textId="77777777" w:rsidR="00E85C86" w:rsidRDefault="004030DE">
      <w:pPr>
        <w:spacing w:after="160" w:line="300" w:lineRule="auto"/>
        <w:jc w:val="both"/>
      </w:pPr>
      <w:r>
        <w:rPr>
          <w:color w:val="2D3748"/>
        </w:rPr>
        <w:t>A receita efetiva do Governo Regional totalizou 955,6 milhões de euros, menos 1,6% (-16,0 milhões de euros) do que em 2025, com um grau de execução de 46,3%. O resultado traduz duas dinâmicas opostas: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E85C86" w14:paraId="79166BCB" w14:textId="77777777">
        <w:tc>
          <w:tcPr>
            <w:tcW w:w="9638" w:type="dxa"/>
            <w:tcBorders>
              <w:top w:val="none" w:sz="0" w:space="0" w:color="FFFFFF"/>
              <w:left w:val="single" w:sz="12" w:space="0" w:color="C8963E"/>
              <w:bottom w:val="none" w:sz="0" w:space="0" w:color="FFFFFF"/>
              <w:right w:val="none" w:sz="0" w:space="0" w:color="FFFFFF"/>
            </w:tcBorders>
            <w:shd w:val="clear" w:color="auto" w:fill="EDF7E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0B8749D" w14:textId="3588032B" w:rsidR="00E85C86" w:rsidRDefault="004030DE">
            <w:pPr>
              <w:spacing w:after="60"/>
            </w:pPr>
            <w:r>
              <w:rPr>
                <w:b/>
                <w:bCs/>
                <w:color w:val="1B6B3A"/>
                <w:sz w:val="20"/>
                <w:szCs w:val="20"/>
              </w:rPr>
              <w:t>Receita fiscal +</w:t>
            </w:r>
            <w:r>
              <w:rPr>
                <w:color w:val="1B6B3A"/>
                <w:sz w:val="20"/>
                <w:szCs w:val="20"/>
              </w:rPr>
              <w:t>0,5% (+3,3 M€)</w:t>
            </w:r>
          </w:p>
          <w:p w14:paraId="4F5E8B64" w14:textId="5790DE9F" w:rsidR="00E85C86" w:rsidRDefault="004030DE">
            <w:pPr>
              <w:spacing w:line="280" w:lineRule="auto"/>
            </w:pPr>
            <w:r>
              <w:rPr>
                <w:color w:val="4A5568"/>
                <w:sz w:val="18"/>
                <w:szCs w:val="18"/>
              </w:rPr>
              <w:t>IVA +6,8% (374,4 M€) · IRC -26,4% (66,7 M€) · IRS -5,7% (99,1 M€)</w:t>
            </w:r>
          </w:p>
        </w:tc>
      </w:tr>
    </w:tbl>
    <w:p w14:paraId="6C323D3C" w14:textId="77777777" w:rsidR="00E85C86" w:rsidRDefault="00E85C86">
      <w:pPr>
        <w:spacing w:after="6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E85C86" w14:paraId="0C75151D" w14:textId="77777777">
        <w:tc>
          <w:tcPr>
            <w:tcW w:w="9638" w:type="dxa"/>
            <w:tcBorders>
              <w:top w:val="none" w:sz="0" w:space="0" w:color="FFFFFF"/>
              <w:left w:val="single" w:sz="12" w:space="0" w:color="C8963E"/>
              <w:bottom w:val="none" w:sz="0" w:space="0" w:color="FFFFFF"/>
              <w:right w:val="none" w:sz="0" w:space="0" w:color="FFFFFF"/>
            </w:tcBorders>
            <w:shd w:val="clear" w:color="auto" w:fill="FFF5F5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E64159D" w14:textId="2C8E3E84" w:rsidR="00E85C86" w:rsidRDefault="004030DE">
            <w:pPr>
              <w:spacing w:after="60"/>
            </w:pPr>
            <w:r>
              <w:rPr>
                <w:b/>
                <w:bCs/>
                <w:color w:val="9B2C2C"/>
                <w:sz w:val="20"/>
                <w:szCs w:val="20"/>
              </w:rPr>
              <w:t>Receita não fiscal -</w:t>
            </w:r>
            <w:r>
              <w:rPr>
                <w:color w:val="9B2C2C"/>
                <w:sz w:val="20"/>
                <w:szCs w:val="20"/>
              </w:rPr>
              <w:t>5,9% (-19,3 M€)</w:t>
            </w:r>
          </w:p>
          <w:p w14:paraId="409E1AC0" w14:textId="6801294A" w:rsidR="00E85C86" w:rsidRDefault="004030DE">
            <w:pPr>
              <w:spacing w:line="280" w:lineRule="auto"/>
            </w:pPr>
            <w:r>
              <w:rPr>
                <w:color w:val="4A5568"/>
                <w:sz w:val="18"/>
                <w:szCs w:val="18"/>
              </w:rPr>
              <w:t>Receitas de capital -39,0% (-39,9 M€), por ausência da transferência ao abrigo do art.º 49.º da LFRA. Transferências correntes: +10,2% (+20,3 M€), sustentadas por fundos da Administração Central e da União Europeia.</w:t>
            </w:r>
          </w:p>
        </w:tc>
      </w:tr>
    </w:tbl>
    <w:p w14:paraId="02B7B974" w14:textId="77777777" w:rsidR="00E85C86" w:rsidRDefault="00E85C86">
      <w:pPr>
        <w:spacing w:after="40"/>
      </w:pPr>
    </w:p>
    <w:p w14:paraId="5D52484B" w14:textId="77777777" w:rsidR="00E85C86" w:rsidRDefault="004030DE">
      <w:pPr>
        <w:spacing w:after="160" w:line="300" w:lineRule="auto"/>
        <w:jc w:val="both"/>
      </w:pPr>
      <w:r>
        <w:rPr>
          <w:color w:val="2D3748"/>
        </w:rPr>
        <w:t>O crescimento do IVA (+23,8 M€), sustentado pelo regime de capitação, foi anulado pela quebra do IRC — reflexo da menor autoliquidação associada ao Modelo 22, cujo prazo de entrega foi prorrogado até 30 de junho — e do IRS, penalizado pelos reembolsos da campanha do Modelo 3. O reforço das transferências correntes não compensou a quebra das transferências de capital da Administração Central.</w:t>
      </w:r>
    </w:p>
    <w:p w14:paraId="38AC4515" w14:textId="0F99E5D6" w:rsidR="00E85C86" w:rsidRDefault="004030DE">
      <w:pPr>
        <w:pBdr>
          <w:left w:val="single" w:sz="18" w:space="8" w:color="C8963E"/>
        </w:pBdr>
        <w:spacing w:before="300" w:after="140"/>
        <w:ind w:left="120"/>
      </w:pPr>
      <w:r>
        <w:rPr>
          <w:b/>
          <w:bCs/>
          <w:color w:val="1B365D"/>
          <w:sz w:val="24"/>
          <w:szCs w:val="24"/>
        </w:rPr>
        <w:lastRenderedPageBreak/>
        <w:t>Despesa: aumento de 5,1%, alavancado por transferências, bens e serviços e pessoal</w:t>
      </w:r>
    </w:p>
    <w:p w14:paraId="43E30D52" w14:textId="77777777" w:rsidR="00E85C86" w:rsidRDefault="004030DE">
      <w:pPr>
        <w:spacing w:after="160" w:line="300" w:lineRule="auto"/>
        <w:jc w:val="both"/>
      </w:pPr>
      <w:r>
        <w:rPr>
          <w:color w:val="2D3748"/>
        </w:rPr>
        <w:t>A despesa efetiva do Governo Regional situou-se em 926,8 milhões de euros, mais 5,1% do que em 2025 (+45,2 milhões), correspondendo a uma execução orçamental de 41,9%. A despesa corrente cresceu 7,8% (+63,3 milhões), enquanto a despesa de capital recuou 25,1% (-18,1 milhões).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E85C86" w14:paraId="4A9DEDAE" w14:textId="77777777">
        <w:tc>
          <w:tcPr>
            <w:tcW w:w="9638" w:type="dxa"/>
            <w:tcBorders>
              <w:top w:val="none" w:sz="0" w:space="0" w:color="FFFFFF"/>
              <w:left w:val="single" w:sz="12" w:space="0" w:color="C8963E"/>
              <w:bottom w:val="none" w:sz="0" w:space="0" w:color="FFFFFF"/>
              <w:right w:val="none" w:sz="0" w:space="0" w:color="FFFFFF"/>
            </w:tcBorders>
            <w:shd w:val="clear" w:color="auto" w:fill="FFF8ED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882E2B2" w14:textId="77777777" w:rsidR="00E85C86" w:rsidRDefault="004030DE">
            <w:pPr>
              <w:spacing w:after="80"/>
            </w:pPr>
            <w:r>
              <w:rPr>
                <w:b/>
                <w:bCs/>
                <w:color w:val="1B365D"/>
                <w:sz w:val="19"/>
                <w:szCs w:val="19"/>
              </w:rPr>
              <w:t>Principais variações da despesa:</w:t>
            </w:r>
          </w:p>
          <w:p w14:paraId="503FB3AF" w14:textId="77777777" w:rsidR="00E85C86" w:rsidRDefault="004030DE">
            <w:pPr>
              <w:spacing w:after="40" w:line="280" w:lineRule="auto"/>
            </w:pPr>
            <w:r>
              <w:rPr>
                <w:color w:val="4A5568"/>
                <w:sz w:val="18"/>
                <w:szCs w:val="18"/>
              </w:rPr>
              <w:t>Transferências correntes: +7,9% (+29,5 M€)</w:t>
            </w:r>
          </w:p>
          <w:p w14:paraId="36DD2581" w14:textId="77777777" w:rsidR="00E85C86" w:rsidRDefault="004030DE">
            <w:pPr>
              <w:spacing w:after="40" w:line="280" w:lineRule="auto"/>
            </w:pPr>
            <w:r>
              <w:rPr>
                <w:color w:val="4A5568"/>
                <w:sz w:val="18"/>
                <w:szCs w:val="18"/>
              </w:rPr>
              <w:t>Aquisição de bens e serviços correntes: +23,5% (+18,0 M€)</w:t>
            </w:r>
          </w:p>
          <w:p w14:paraId="5CF4930A" w14:textId="77777777" w:rsidR="00E85C86" w:rsidRDefault="004030DE">
            <w:pPr>
              <w:spacing w:after="40" w:line="280" w:lineRule="auto"/>
            </w:pPr>
            <w:r>
              <w:rPr>
                <w:color w:val="4A5568"/>
                <w:sz w:val="18"/>
                <w:szCs w:val="18"/>
              </w:rPr>
              <w:t>Despesas com o pessoal: +4,9% (+13,7 M€), reflexo das atualizações salariais</w:t>
            </w:r>
          </w:p>
          <w:p w14:paraId="2DB9C3EC" w14:textId="77777777" w:rsidR="00E85C86" w:rsidRDefault="004030DE">
            <w:pPr>
              <w:spacing w:line="280" w:lineRule="auto"/>
            </w:pPr>
            <w:r>
              <w:rPr>
                <w:color w:val="4A5568"/>
                <w:sz w:val="18"/>
                <w:szCs w:val="18"/>
              </w:rPr>
              <w:t>Juros e outros encargos: -3,6% (-3,0 M€) · Despesas de capital: -25,1% (-18,1 M€)</w:t>
            </w:r>
          </w:p>
        </w:tc>
      </w:tr>
    </w:tbl>
    <w:p w14:paraId="27B407DA" w14:textId="77777777" w:rsidR="00E85C86" w:rsidRDefault="00E85C86">
      <w:pPr>
        <w:spacing w:after="40"/>
      </w:pPr>
    </w:p>
    <w:p w14:paraId="409DEF4A" w14:textId="77777777" w:rsidR="00E85C86" w:rsidRDefault="004030DE">
      <w:pPr>
        <w:spacing w:after="160" w:line="300" w:lineRule="auto"/>
        <w:jc w:val="both"/>
      </w:pPr>
      <w:r>
        <w:rPr>
          <w:color w:val="2D3748"/>
        </w:rPr>
        <w:t>Por áreas de intervenção, a Saúde e a Educação representaram, em conjunto, 60,7% da despesa, seguindo-se os Serviços gerais das administrações públicas (16,4%) e os Assuntos económicos (13,7%).</w:t>
      </w:r>
    </w:p>
    <w:p w14:paraId="05F1D376" w14:textId="77777777" w:rsidR="00E85C86" w:rsidRDefault="004030DE">
      <w:pPr>
        <w:pBdr>
          <w:left w:val="single" w:sz="18" w:space="8" w:color="C8963E"/>
        </w:pBdr>
        <w:spacing w:before="300" w:after="140"/>
        <w:ind w:left="120"/>
      </w:pPr>
      <w:r>
        <w:rPr>
          <w:b/>
          <w:bCs/>
          <w:color w:val="1B365D"/>
          <w:sz w:val="24"/>
          <w:szCs w:val="24"/>
        </w:rPr>
        <w:t>Dívida não financeira</w:t>
      </w:r>
    </w:p>
    <w:p w14:paraId="294A06B9" w14:textId="77777777" w:rsidR="00E85C86" w:rsidRDefault="004030DE">
      <w:pPr>
        <w:spacing w:after="160" w:line="300" w:lineRule="auto"/>
        <w:jc w:val="both"/>
      </w:pPr>
      <w:r>
        <w:rPr>
          <w:color w:val="2D3748"/>
        </w:rPr>
        <w:t>O passivo acumulado ascendia, no final de julho, a 224,5 milhões de euros — um acréscimo de 29,3 milhões face ao período homólogo. Os pagamentos em atraso fixaram-se em 21,2 milhões de euros, registando uma variação de -1,7 milhões.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E85C86" w14:paraId="5C053338" w14:textId="77777777">
        <w:tc>
          <w:tcPr>
            <w:tcW w:w="96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4F7"/>
            <w:tcMar>
              <w:top w:w="180" w:type="dxa"/>
              <w:left w:w="300" w:type="dxa"/>
              <w:bottom w:w="180" w:type="dxa"/>
              <w:right w:w="300" w:type="dxa"/>
            </w:tcMar>
          </w:tcPr>
          <w:p w14:paraId="17F0AB2B" w14:textId="77777777" w:rsidR="00E85C86" w:rsidRDefault="004030DE">
            <w:pPr>
              <w:spacing w:after="60"/>
              <w:jc w:val="center"/>
            </w:pPr>
            <w:r>
              <w:rPr>
                <w:b/>
                <w:bCs/>
                <w:color w:val="1B365D"/>
                <w:sz w:val="18"/>
                <w:szCs w:val="18"/>
              </w:rPr>
              <w:t>Redução acumulada desde 2012 (mesmo universo de entidades)</w:t>
            </w:r>
          </w:p>
          <w:p w14:paraId="06E360CC" w14:textId="77777777" w:rsidR="00E85C86" w:rsidRDefault="004030DE">
            <w:pPr>
              <w:jc w:val="center"/>
            </w:pPr>
            <w:r>
              <w:rPr>
                <w:color w:val="4A5568"/>
                <w:sz w:val="20"/>
                <w:szCs w:val="20"/>
              </w:rPr>
              <w:t xml:space="preserve">Passivos: </w:t>
            </w:r>
            <w:r>
              <w:rPr>
                <w:b/>
                <w:bCs/>
                <w:color w:val="1B365D"/>
                <w:sz w:val="26"/>
                <w:szCs w:val="26"/>
              </w:rPr>
              <w:t>-2 515,1 M€</w:t>
            </w:r>
            <w:r>
              <w:rPr>
                <w:color w:val="4A5568"/>
                <w:sz w:val="20"/>
                <w:szCs w:val="20"/>
              </w:rPr>
              <w:t xml:space="preserve">     Pagamentos em atraso: </w:t>
            </w:r>
            <w:r>
              <w:rPr>
                <w:b/>
                <w:bCs/>
                <w:color w:val="1B365D"/>
                <w:sz w:val="26"/>
                <w:szCs w:val="26"/>
              </w:rPr>
              <w:t>-1 103,0 M€</w:t>
            </w:r>
          </w:p>
        </w:tc>
      </w:tr>
    </w:tbl>
    <w:p w14:paraId="4E8AE5A0" w14:textId="77777777" w:rsidR="00E85C86" w:rsidRDefault="00E85C86">
      <w:pPr>
        <w:spacing w:after="300"/>
      </w:pPr>
    </w:p>
    <w:p w14:paraId="419815C0" w14:textId="77777777" w:rsidR="00E85C86" w:rsidRDefault="00E85C86">
      <w:pPr>
        <w:pBdr>
          <w:bottom w:val="single" w:sz="6" w:space="4" w:color="C8963E"/>
        </w:pBdr>
        <w:spacing w:after="200"/>
      </w:pPr>
    </w:p>
    <w:p w14:paraId="02872C70" w14:textId="77777777" w:rsidR="00E85C86" w:rsidRPr="00E77441" w:rsidRDefault="004030DE">
      <w:pPr>
        <w:rPr>
          <w:u w:val="single"/>
        </w:rPr>
      </w:pPr>
      <w:r>
        <w:rPr>
          <w:color w:val="4A5568"/>
          <w:sz w:val="20"/>
          <w:szCs w:val="20"/>
        </w:rPr>
        <w:t>Secretaria Regional das Finanças, 31 de agosto de 2026.</w:t>
      </w:r>
    </w:p>
    <w:sectPr w:rsidR="00E85C86" w:rsidRPr="00E77441">
      <w:headerReference w:type="default" r:id="rId8"/>
      <w:footerReference w:type="default" r:id="rId9"/>
      <w:pgSz w:w="11906" w:h="16838"/>
      <w:pgMar w:top="850" w:right="1134" w:bottom="850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11079" w14:textId="77777777" w:rsidR="00E0674E" w:rsidRDefault="00E0674E">
      <w:r>
        <w:separator/>
      </w:r>
    </w:p>
  </w:endnote>
  <w:endnote w:type="continuationSeparator" w:id="0">
    <w:p w14:paraId="470B3874" w14:textId="77777777" w:rsidR="00E0674E" w:rsidRDefault="00E06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12190" w14:textId="77777777" w:rsidR="00E85C86" w:rsidRDefault="004030DE">
    <w:pPr>
      <w:pBdr>
        <w:top w:val="single" w:sz="2" w:space="6" w:color="E0E4EA"/>
      </w:pBdr>
      <w:tabs>
        <w:tab w:val="right" w:pos="9026"/>
      </w:tabs>
    </w:pPr>
    <w:r>
      <w:rPr>
        <w:color w:val="4A5568"/>
        <w:sz w:val="15"/>
        <w:szCs w:val="15"/>
      </w:rPr>
      <w:t>Secretaria Regional das Finanças</w:t>
    </w:r>
    <w:r>
      <w:tab/>
    </w:r>
    <w:r>
      <w:rPr>
        <w:color w:val="4A5568"/>
        <w:sz w:val="15"/>
        <w:szCs w:val="15"/>
      </w:rPr>
      <w:t>www.madeira.gov.pt/srf/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44E7D" w14:textId="77777777" w:rsidR="00E0674E" w:rsidRDefault="00E0674E">
      <w:r>
        <w:separator/>
      </w:r>
    </w:p>
  </w:footnote>
  <w:footnote w:type="continuationSeparator" w:id="0">
    <w:p w14:paraId="0529933C" w14:textId="77777777" w:rsidR="00E0674E" w:rsidRDefault="00E06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1C705" w14:textId="77777777" w:rsidR="00E85C86" w:rsidRPr="007E1176" w:rsidRDefault="004030DE">
    <w:pPr>
      <w:jc w:val="right"/>
      <w:rPr>
        <w:sz w:val="20"/>
        <w:szCs w:val="20"/>
      </w:rPr>
    </w:pPr>
    <w:r w:rsidRPr="007E1176">
      <w:rPr>
        <w:color w:val="4A5568"/>
        <w:spacing w:val="120"/>
        <w:sz w:val="20"/>
        <w:szCs w:val="20"/>
      </w:rPr>
      <w:t>NOTA DE IMPRENSA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320B25"/>
    <w:multiLevelType w:val="hybridMultilevel"/>
    <w:tmpl w:val="B66CDB96"/>
    <w:lvl w:ilvl="0" w:tplc="C3D6822E">
      <w:start w:val="1"/>
      <w:numFmt w:val="bullet"/>
      <w:lvlText w:val="●"/>
      <w:lvlJc w:val="left"/>
      <w:pPr>
        <w:ind w:left="720" w:hanging="360"/>
      </w:pPr>
    </w:lvl>
    <w:lvl w:ilvl="1" w:tplc="81643BE4">
      <w:start w:val="1"/>
      <w:numFmt w:val="bullet"/>
      <w:lvlText w:val="○"/>
      <w:lvlJc w:val="left"/>
      <w:pPr>
        <w:ind w:left="1440" w:hanging="360"/>
      </w:pPr>
    </w:lvl>
    <w:lvl w:ilvl="2" w:tplc="064607F8">
      <w:start w:val="1"/>
      <w:numFmt w:val="bullet"/>
      <w:lvlText w:val="■"/>
      <w:lvlJc w:val="left"/>
      <w:pPr>
        <w:ind w:left="2160" w:hanging="360"/>
      </w:pPr>
    </w:lvl>
    <w:lvl w:ilvl="3" w:tplc="F2D8CEA4">
      <w:start w:val="1"/>
      <w:numFmt w:val="bullet"/>
      <w:lvlText w:val="●"/>
      <w:lvlJc w:val="left"/>
      <w:pPr>
        <w:ind w:left="2880" w:hanging="360"/>
      </w:pPr>
    </w:lvl>
    <w:lvl w:ilvl="4" w:tplc="01A682AE">
      <w:start w:val="1"/>
      <w:numFmt w:val="bullet"/>
      <w:lvlText w:val="○"/>
      <w:lvlJc w:val="left"/>
      <w:pPr>
        <w:ind w:left="3600" w:hanging="360"/>
      </w:pPr>
    </w:lvl>
    <w:lvl w:ilvl="5" w:tplc="AC943EE4">
      <w:start w:val="1"/>
      <w:numFmt w:val="bullet"/>
      <w:lvlText w:val="■"/>
      <w:lvlJc w:val="left"/>
      <w:pPr>
        <w:ind w:left="4320" w:hanging="360"/>
      </w:pPr>
    </w:lvl>
    <w:lvl w:ilvl="6" w:tplc="2548922E">
      <w:start w:val="1"/>
      <w:numFmt w:val="bullet"/>
      <w:lvlText w:val="●"/>
      <w:lvlJc w:val="left"/>
      <w:pPr>
        <w:ind w:left="5040" w:hanging="360"/>
      </w:pPr>
    </w:lvl>
    <w:lvl w:ilvl="7" w:tplc="6460407E">
      <w:start w:val="1"/>
      <w:numFmt w:val="bullet"/>
      <w:lvlText w:val="●"/>
      <w:lvlJc w:val="left"/>
      <w:pPr>
        <w:ind w:left="5760" w:hanging="360"/>
      </w:pPr>
    </w:lvl>
    <w:lvl w:ilvl="8" w:tplc="9DC6434A">
      <w:start w:val="1"/>
      <w:numFmt w:val="bullet"/>
      <w:lvlText w:val="●"/>
      <w:lvlJc w:val="left"/>
      <w:pPr>
        <w:ind w:left="6480" w:hanging="360"/>
      </w:pPr>
    </w:lvl>
  </w:abstractNum>
  <w:num w:numId="1" w16cid:durableId="186883708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C86"/>
    <w:rsid w:val="000A706E"/>
    <w:rsid w:val="000B4CB2"/>
    <w:rsid w:val="0014387A"/>
    <w:rsid w:val="001B1AF5"/>
    <w:rsid w:val="001E06A8"/>
    <w:rsid w:val="002234EA"/>
    <w:rsid w:val="002D6F08"/>
    <w:rsid w:val="00335A68"/>
    <w:rsid w:val="003D2C87"/>
    <w:rsid w:val="004030DE"/>
    <w:rsid w:val="00497B34"/>
    <w:rsid w:val="004A7BBA"/>
    <w:rsid w:val="004D3459"/>
    <w:rsid w:val="007C0706"/>
    <w:rsid w:val="007C2B85"/>
    <w:rsid w:val="007E1176"/>
    <w:rsid w:val="007E7DA6"/>
    <w:rsid w:val="008242E7"/>
    <w:rsid w:val="00833F88"/>
    <w:rsid w:val="00893AC8"/>
    <w:rsid w:val="00997B1D"/>
    <w:rsid w:val="00A52421"/>
    <w:rsid w:val="00A952A6"/>
    <w:rsid w:val="00C1133E"/>
    <w:rsid w:val="00C64DE5"/>
    <w:rsid w:val="00D90AA0"/>
    <w:rsid w:val="00DD4E59"/>
    <w:rsid w:val="00E0674E"/>
    <w:rsid w:val="00E31D95"/>
    <w:rsid w:val="00E42F7C"/>
    <w:rsid w:val="00E63EBC"/>
    <w:rsid w:val="00E77441"/>
    <w:rsid w:val="00E85C86"/>
    <w:rsid w:val="00EB67BD"/>
    <w:rsid w:val="00EC0C7E"/>
    <w:rsid w:val="00EE0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26372"/>
  <w15:docId w15:val="{8656DA5F-225E-4DD3-B248-ED885E6D6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iperligao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arter"/>
    <w:uiPriority w:val="99"/>
    <w:semiHidden/>
    <w:unhideWhenUsed/>
    <w:rPr>
      <w:sz w:val="20"/>
      <w:szCs w:val="20"/>
    </w:rPr>
  </w:style>
  <w:style w:type="character" w:customStyle="1" w:styleId="TextodenotaderodapCarter">
    <w:name w:val="Texto de nota de rodapé Caráter"/>
    <w:link w:val="Textodenotaderodap"/>
    <w:uiPriority w:val="99"/>
    <w:semiHidden/>
    <w:unhideWhenUsed/>
    <w:rPr>
      <w:sz w:val="20"/>
      <w:szCs w:val="20"/>
    </w:rPr>
  </w:style>
  <w:style w:type="paragraph" w:styleId="Reviso">
    <w:name w:val="Revision"/>
    <w:hidden/>
    <w:uiPriority w:val="99"/>
    <w:semiHidden/>
    <w:rsid w:val="00E63EBC"/>
  </w:style>
  <w:style w:type="character" w:styleId="Refdecomentrio">
    <w:name w:val="annotation reference"/>
    <w:basedOn w:val="Tipodeletrapredefinidodopargrafo"/>
    <w:uiPriority w:val="99"/>
    <w:semiHidden/>
    <w:unhideWhenUsed/>
    <w:rsid w:val="000B4CB2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0B4CB2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0B4CB2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0B4CB2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0B4CB2"/>
    <w:rPr>
      <w:b/>
      <w:bCs/>
      <w:sz w:val="20"/>
      <w:szCs w:val="20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497B34"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unhideWhenUsed/>
    <w:rsid w:val="007E1176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E1176"/>
  </w:style>
  <w:style w:type="paragraph" w:styleId="Rodap">
    <w:name w:val="footer"/>
    <w:basedOn w:val="Normal"/>
    <w:link w:val="RodapCarter"/>
    <w:uiPriority w:val="99"/>
    <w:unhideWhenUsed/>
    <w:rsid w:val="007E1176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E1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Tania Fernandes</cp:lastModifiedBy>
  <cp:revision>2</cp:revision>
  <dcterms:created xsi:type="dcterms:W3CDTF">2026-07-29T16:58:00Z</dcterms:created>
  <dcterms:modified xsi:type="dcterms:W3CDTF">2026-07-29T16:58:00Z</dcterms:modified>
</cp:coreProperties>
</file>