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31D50B7A"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9B47DB">
              <w:rPr>
                <w:rFonts w:ascii="Century Gothic" w:hAnsi="Century Gothic" w:cs="Tahoma"/>
                <w:sz w:val="16"/>
                <w:szCs w:val="16"/>
              </w:rPr>
              <w:t xml:space="preserve">de afetação aos QZP </w:t>
            </w:r>
            <w:bookmarkStart w:id="0" w:name="_GoBack"/>
            <w:bookmarkEnd w:id="0"/>
            <w:r>
              <w:rPr>
                <w:rFonts w:ascii="Century Gothic" w:hAnsi="Century Gothic" w:cs="Tahoma"/>
                <w:sz w:val="16"/>
                <w:szCs w:val="16"/>
              </w:rPr>
              <w:t>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580F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1984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AA0703A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CFCE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0EB9E05E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9758E"/>
    <w:rsid w:val="003127D3"/>
    <w:rsid w:val="003B580F"/>
    <w:rsid w:val="004515B7"/>
    <w:rsid w:val="004640A3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B47DB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4</cp:revision>
  <cp:lastPrinted>2016-08-02T10:11:00Z</cp:lastPrinted>
  <dcterms:created xsi:type="dcterms:W3CDTF">2018-07-02T08:15:00Z</dcterms:created>
  <dcterms:modified xsi:type="dcterms:W3CDTF">2018-08-14T13:56:00Z</dcterms:modified>
</cp:coreProperties>
</file>