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722" w14:textId="77777777" w:rsidR="000201E0" w:rsidRDefault="000201E0" w:rsidP="000201E0">
      <w:pPr>
        <w:pStyle w:val="Textodecomentrio"/>
        <w:jc w:val="center"/>
        <w:rPr>
          <w:sz w:val="18"/>
          <w:szCs w:val="18"/>
        </w:rPr>
      </w:pPr>
      <w:r>
        <w:rPr>
          <w:rFonts w:ascii="Tahoma" w:hAnsi="Tahoma" w:cs="Tahoma"/>
          <w:b/>
        </w:rPr>
        <w:t xml:space="preserve">Inspeção </w:t>
      </w: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C4600">
        <w:rPr>
          <w:sz w:val="18"/>
          <w:szCs w:val="18"/>
        </w:rPr>
      </w:r>
      <w:r w:rsidR="006C46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0201E0">
        <w:rPr>
          <w:rFonts w:ascii="Tahoma" w:hAnsi="Tahoma" w:cs="Tahoma"/>
          <w:b/>
        </w:rPr>
        <w:t>Reinspeção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C4600">
        <w:rPr>
          <w:sz w:val="18"/>
          <w:szCs w:val="18"/>
        </w:rPr>
      </w:r>
      <w:r w:rsidR="006C46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4C02C294" w14:textId="77777777" w:rsidR="000201E0" w:rsidRDefault="000201E0" w:rsidP="003804C9">
      <w:pPr>
        <w:pStyle w:val="Textodecomentrio"/>
        <w:jc w:val="both"/>
        <w:rPr>
          <w:rFonts w:ascii="Tahoma" w:hAnsi="Tahoma" w:cs="Tahoma"/>
          <w:b/>
        </w:rPr>
      </w:pPr>
    </w:p>
    <w:p w14:paraId="20EF91F1" w14:textId="77777777" w:rsidR="003804C9" w:rsidRPr="00AB2B0B" w:rsidRDefault="003804C9" w:rsidP="003804C9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43"/>
        <w:gridCol w:w="2703"/>
        <w:gridCol w:w="2703"/>
        <w:gridCol w:w="113"/>
      </w:tblGrid>
      <w:tr w:rsidR="003804C9" w:rsidRPr="001F07B0" w14:paraId="7DD927D4" w14:textId="77777777" w:rsidTr="00FE3968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BE8CCA" w14:textId="77777777" w:rsidR="003804C9" w:rsidRPr="001F07B0" w:rsidRDefault="003804C9" w:rsidP="00FE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 Denominação social</w:t>
            </w:r>
            <w:r w:rsidRPr="001F07B0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62BEABD" w14:textId="77777777" w:rsidR="003804C9" w:rsidRPr="001F07B0" w:rsidRDefault="003804C9" w:rsidP="00FE3968">
            <w:pPr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sz w:val="20"/>
                <w:szCs w:val="20"/>
              </w:rPr>
              <w:instrText xml:space="preserve"> FORMTEXT </w:instrText>
            </w:r>
            <w:r w:rsidRPr="001F07B0">
              <w:rPr>
                <w:sz w:val="20"/>
                <w:szCs w:val="20"/>
              </w:rPr>
            </w:r>
            <w:r w:rsidRPr="001F07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F07B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804C9" w:rsidRPr="001F07B0" w14:paraId="25BA21ED" w14:textId="77777777" w:rsidTr="00FE3968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D9E1AF" w14:textId="77777777" w:rsidR="003804C9" w:rsidRPr="001F07B0" w:rsidRDefault="003804C9" w:rsidP="00FE3968">
            <w:pPr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B3BF2E" w14:textId="77777777" w:rsidR="003804C9" w:rsidRPr="001F07B0" w:rsidRDefault="003804C9" w:rsidP="00FE3968">
            <w:pPr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sz w:val="20"/>
                <w:szCs w:val="20"/>
              </w:rPr>
              <w:instrText xml:space="preserve"> FORMTEXT </w:instrText>
            </w:r>
            <w:r w:rsidRPr="001F07B0">
              <w:rPr>
                <w:sz w:val="20"/>
                <w:szCs w:val="20"/>
              </w:rPr>
            </w:r>
            <w:r w:rsidRPr="001F07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F07B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41868" w:rsidRPr="001F07B0" w14:paraId="5CB2B2DA" w14:textId="77777777" w:rsidTr="00D41868">
        <w:trPr>
          <w:gridAfter w:val="1"/>
          <w:wAfter w:w="113" w:type="dxa"/>
          <w:trHeight w:val="411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B44F3F" w14:textId="77777777" w:rsidR="00D41868" w:rsidRPr="001F07B0" w:rsidRDefault="00D41868" w:rsidP="00D41868">
            <w:pPr>
              <w:ind w:left="-142" w:firstLine="142"/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t>Freguesia: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510F09" w14:textId="77777777" w:rsidR="00D41868" w:rsidRPr="001F07B0" w:rsidRDefault="00D41868" w:rsidP="00D41868">
            <w:pPr>
              <w:ind w:left="-142" w:firstLine="142"/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sz w:val="20"/>
                <w:szCs w:val="20"/>
              </w:rPr>
              <w:instrText xml:space="preserve"> FORMTEXT </w:instrText>
            </w:r>
            <w:r w:rsidRPr="001F07B0">
              <w:rPr>
                <w:sz w:val="20"/>
                <w:szCs w:val="20"/>
              </w:rPr>
            </w:r>
            <w:r w:rsidRPr="001F07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F07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0BA9C84" w14:textId="77777777" w:rsidR="00D41868" w:rsidRPr="001F07B0" w:rsidRDefault="00D41868" w:rsidP="00D41868">
            <w:pPr>
              <w:ind w:left="-142"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</w:t>
            </w:r>
            <w:r w:rsidRPr="001F07B0">
              <w:rPr>
                <w:sz w:val="20"/>
                <w:szCs w:val="20"/>
              </w:rPr>
              <w:t>elho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136266" w14:textId="77777777" w:rsidR="00D41868" w:rsidRPr="001F07B0" w:rsidRDefault="00D41868" w:rsidP="00D41868">
            <w:pPr>
              <w:ind w:left="-142" w:firstLine="142"/>
              <w:rPr>
                <w:sz w:val="20"/>
                <w:szCs w:val="20"/>
              </w:rPr>
            </w:pPr>
            <w:r w:rsidRPr="001F07B0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sz w:val="20"/>
                <w:szCs w:val="20"/>
              </w:rPr>
              <w:instrText xml:space="preserve"> FORMTEXT </w:instrText>
            </w:r>
            <w:r w:rsidRPr="001F07B0">
              <w:rPr>
                <w:sz w:val="20"/>
                <w:szCs w:val="20"/>
              </w:rPr>
            </w:r>
            <w:r w:rsidRPr="001F07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F07B0">
              <w:rPr>
                <w:sz w:val="20"/>
                <w:szCs w:val="20"/>
              </w:rPr>
              <w:fldChar w:fldCharType="end"/>
            </w:r>
          </w:p>
        </w:tc>
      </w:tr>
    </w:tbl>
    <w:p w14:paraId="4E844031" w14:textId="77777777" w:rsidR="003804C9" w:rsidRPr="00824063" w:rsidRDefault="003804C9" w:rsidP="006B7F9D">
      <w:pPr>
        <w:spacing w:line="360" w:lineRule="auto"/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3804C9" w:rsidRPr="008747B9" w14:paraId="472FED36" w14:textId="77777777" w:rsidTr="00FE396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F8053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t>Código-Postal:</w:t>
            </w:r>
          </w:p>
        </w:tc>
        <w:bookmarkStart w:id="2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0AD8E6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2"/>
            <w:r w:rsidRPr="008747B9">
              <w:rPr>
                <w:sz w:val="20"/>
                <w:szCs w:val="20"/>
              </w:rPr>
              <w:t xml:space="preserve"> - </w:t>
            </w:r>
            <w:r w:rsidRPr="008747B9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3"/>
            <w:r w:rsidRPr="008747B9">
              <w:rPr>
                <w:sz w:val="20"/>
                <w:szCs w:val="20"/>
              </w:rPr>
              <w:t xml:space="preserve"> </w:t>
            </w:r>
            <w:bookmarkStart w:id="4" w:name="Texto24"/>
            <w:r w:rsidRPr="008747B9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4ABFBA0" w14:textId="77777777" w:rsidR="003804C9" w:rsidRPr="00AB2B0B" w:rsidRDefault="003804C9" w:rsidP="003804C9">
      <w:pPr>
        <w:spacing w:line="36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3804C9" w:rsidRPr="008747B9" w14:paraId="331DCFBD" w14:textId="77777777" w:rsidTr="00FE396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0D5C9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763D62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9B75829" w14:textId="77777777" w:rsidR="003804C9" w:rsidRPr="00AB2B0B" w:rsidRDefault="003804C9" w:rsidP="003804C9">
      <w:pPr>
        <w:spacing w:line="36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64"/>
        <w:gridCol w:w="2722"/>
      </w:tblGrid>
      <w:tr w:rsidR="003804C9" w:rsidRPr="008747B9" w14:paraId="170BF0DA" w14:textId="77777777" w:rsidTr="00876FAA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DCFD9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DB7F16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A7653C" w14:textId="77777777" w:rsidR="003804C9" w:rsidRPr="008747B9" w:rsidRDefault="003804C9" w:rsidP="00FE3968">
            <w:pPr>
              <w:jc w:val="right"/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E35431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21816B" w14:textId="77777777" w:rsidR="003804C9" w:rsidRPr="008747B9" w:rsidRDefault="00876FAA" w:rsidP="00FE3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3804C9" w:rsidRPr="008747B9">
              <w:rPr>
                <w:sz w:val="20"/>
                <w:szCs w:val="20"/>
              </w:rPr>
              <w:t>: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6EA065" w14:textId="77777777" w:rsidR="003804C9" w:rsidRPr="008747B9" w:rsidRDefault="003804C9" w:rsidP="00FE3968">
            <w:pPr>
              <w:rPr>
                <w:sz w:val="20"/>
                <w:szCs w:val="20"/>
              </w:rPr>
            </w:pPr>
            <w:r w:rsidRPr="008747B9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8747B9">
              <w:rPr>
                <w:sz w:val="20"/>
                <w:szCs w:val="20"/>
              </w:rPr>
              <w:instrText xml:space="preserve"> FORMTEXT </w:instrText>
            </w:r>
            <w:r w:rsidRPr="008747B9">
              <w:rPr>
                <w:sz w:val="20"/>
                <w:szCs w:val="20"/>
              </w:rPr>
            </w:r>
            <w:r w:rsidRPr="008747B9">
              <w:rPr>
                <w:sz w:val="20"/>
                <w:szCs w:val="20"/>
              </w:rPr>
              <w:fldChar w:fldCharType="separate"/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t> </w:t>
            </w:r>
            <w:r w:rsidRPr="008747B9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0238A7A" w14:textId="77777777" w:rsidR="003804C9" w:rsidRPr="001737CE" w:rsidRDefault="003804C9" w:rsidP="003804C9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INSTALAÇÃO</w:t>
      </w:r>
      <w:r w:rsidRPr="001737CE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3804C9" w:rsidRPr="008747B9" w14:paraId="4E27AD2A" w14:textId="77777777" w:rsidTr="00876FAA">
        <w:tc>
          <w:tcPr>
            <w:tcW w:w="10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86"/>
              <w:gridCol w:w="2703"/>
              <w:gridCol w:w="2703"/>
              <w:gridCol w:w="2703"/>
              <w:gridCol w:w="113"/>
            </w:tblGrid>
            <w:tr w:rsidR="003804C9" w:rsidRPr="001F07B0" w14:paraId="4D67D99B" w14:textId="77777777" w:rsidTr="000201E0">
              <w:trPr>
                <w:trHeight w:val="410"/>
              </w:trPr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E843566" w14:textId="77777777" w:rsidR="003804C9" w:rsidRPr="001F07B0" w:rsidRDefault="003804C9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Endereço</w:t>
                  </w:r>
                  <w:r w:rsidRPr="001F07B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08" w:type="dxa"/>
                  <w:gridSpan w:val="5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101640C" w14:textId="77777777" w:rsidR="003804C9" w:rsidRPr="001F07B0" w:rsidRDefault="003804C9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1F07B0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sz w:val="20"/>
                      <w:szCs w:val="20"/>
                    </w:rPr>
                  </w:r>
                  <w:r w:rsidRPr="001F07B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1F07B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168D" w:rsidRPr="001F07B0" w14:paraId="5E4259EB" w14:textId="77777777" w:rsidTr="00D41868">
              <w:trPr>
                <w:gridAfter w:val="1"/>
                <w:wAfter w:w="113" w:type="dxa"/>
                <w:trHeight w:val="411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413E075" w14:textId="77777777" w:rsidR="00AD168D" w:rsidRPr="001F07B0" w:rsidRDefault="00AD168D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1F07B0">
                    <w:rPr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996B77B" w14:textId="77777777" w:rsidR="00AD168D" w:rsidRPr="001F07B0" w:rsidRDefault="00AD168D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1F07B0"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sz w:val="20"/>
                      <w:szCs w:val="20"/>
                    </w:rPr>
                  </w:r>
                  <w:r w:rsidRPr="001F07B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1F07B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609AE65" w14:textId="77777777" w:rsidR="00AD168D" w:rsidRPr="001F07B0" w:rsidRDefault="00AD168D" w:rsidP="00AD168D">
                  <w:pPr>
                    <w:framePr w:hSpace="141" w:wrap="around" w:vAnchor="text" w:hAnchor="text" w:y="1"/>
                    <w:ind w:left="-142" w:firstLine="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</w:t>
                  </w:r>
                  <w:r w:rsidRPr="001F07B0">
                    <w:rPr>
                      <w:sz w:val="20"/>
                      <w:szCs w:val="20"/>
                    </w:rPr>
                    <w:t>elho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C7421D3" w14:textId="77777777" w:rsidR="00AD168D" w:rsidRPr="001F07B0" w:rsidRDefault="00AD168D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1F07B0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sz w:val="20"/>
                      <w:szCs w:val="20"/>
                    </w:rPr>
                  </w:r>
                  <w:r w:rsidRPr="001F07B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1F07B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80640A" w14:textId="77777777" w:rsidR="003804C9" w:rsidRPr="00824063" w:rsidRDefault="003804C9" w:rsidP="00AD168D">
            <w:pPr>
              <w:spacing w:line="360" w:lineRule="auto"/>
              <w:ind w:left="-142" w:firstLine="142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095"/>
            </w:tblGrid>
            <w:tr w:rsidR="003804C9" w:rsidRPr="008747B9" w14:paraId="096654C8" w14:textId="77777777" w:rsidTr="000201E0"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8A9B0B" w14:textId="77777777" w:rsidR="003804C9" w:rsidRPr="008747B9" w:rsidRDefault="003804C9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8747B9">
                    <w:rPr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A6AAC72" w14:textId="77777777" w:rsidR="003804C9" w:rsidRPr="008747B9" w:rsidRDefault="003804C9" w:rsidP="00AD168D">
                  <w:pPr>
                    <w:framePr w:hSpace="141" w:wrap="around" w:vAnchor="text" w:hAnchor="text" w:y="1"/>
                    <w:ind w:left="-142" w:firstLine="142"/>
                    <w:suppressOverlap/>
                    <w:rPr>
                      <w:sz w:val="20"/>
                      <w:szCs w:val="20"/>
                    </w:rPr>
                  </w:pPr>
                  <w:r w:rsidRPr="008747B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sz w:val="20"/>
                      <w:szCs w:val="20"/>
                    </w:rPr>
                  </w:r>
                  <w:r w:rsidRPr="008747B9">
                    <w:rPr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sz w:val="20"/>
                      <w:szCs w:val="20"/>
                    </w:rPr>
                  </w:r>
                  <w:r w:rsidRPr="008747B9">
                    <w:rPr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sz w:val="20"/>
                      <w:szCs w:val="20"/>
                    </w:rPr>
                  </w:r>
                  <w:r w:rsidRPr="008747B9">
                    <w:rPr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t> </w:t>
                  </w:r>
                  <w:r w:rsidRPr="008747B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CF2C16" w14:textId="77777777" w:rsidR="003804C9" w:rsidRPr="00AB2B0B" w:rsidRDefault="003804C9" w:rsidP="00AD168D">
            <w:pPr>
              <w:spacing w:line="360" w:lineRule="auto"/>
              <w:rPr>
                <w:sz w:val="8"/>
                <w:szCs w:val="8"/>
              </w:rPr>
            </w:pPr>
          </w:p>
          <w:p w14:paraId="67DB2101" w14:textId="77777777" w:rsidR="003804C9" w:rsidRDefault="003804C9" w:rsidP="00AD168D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="006A383C">
              <w:rPr>
                <w:rStyle w:val="Refdenotaderodap"/>
                <w:rFonts w:ascii="Tahoma" w:hAnsi="Tahoma" w:cs="Tahoma"/>
                <w:b/>
              </w:rPr>
              <w:footnoteReference w:id="1"/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tbl>
            <w:tblPr>
              <w:tblStyle w:val="TabeladeGrelha1Clara"/>
              <w:tblW w:w="10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8794"/>
              <w:gridCol w:w="1136"/>
            </w:tblGrid>
            <w:tr w:rsidR="006A383C" w14:paraId="4A2ADA88" w14:textId="77777777" w:rsidTr="00CD20DC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136" w:type="dxa"/>
                <w:trHeight w:val="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  <w:tcBorders>
                    <w:bottom w:val="none" w:sz="0" w:space="0" w:color="auto"/>
                  </w:tcBorders>
                </w:tcPr>
                <w:p w14:paraId="5C8E1B79" w14:textId="77777777" w:rsidR="006A383C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before="17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94" w:type="dxa"/>
                  <w:tcBorders>
                    <w:bottom w:val="none" w:sz="0" w:space="0" w:color="auto"/>
                  </w:tcBorders>
                </w:tcPr>
                <w:p w14:paraId="52C0D150" w14:textId="77777777" w:rsidR="006A383C" w:rsidRPr="00CD20DC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before="1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"/>
                      <w:szCs w:val="2"/>
                    </w:rPr>
                  </w:pPr>
                </w:p>
              </w:tc>
            </w:tr>
            <w:tr w:rsidR="006A383C" w14:paraId="617B2458" w14:textId="77777777" w:rsidTr="00CD2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690E5F88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1.</w:t>
                  </w:r>
                </w:p>
              </w:tc>
              <w:tc>
                <w:tcPr>
                  <w:tcW w:w="9930" w:type="dxa"/>
                  <w:gridSpan w:val="2"/>
                </w:tcPr>
                <w:p w14:paraId="6773D339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D41868">
                    <w:rPr>
                      <w:sz w:val="16"/>
                      <w:szCs w:val="18"/>
                      <w:u w:val="single"/>
                    </w:rPr>
                    <w:t>Certificado</w:t>
                  </w:r>
                  <w:r w:rsidRPr="00876FAA">
                    <w:rPr>
                      <w:sz w:val="16"/>
                      <w:szCs w:val="18"/>
                    </w:rPr>
                    <w:t xml:space="preserve"> de ensaios periódicos de estanquicidade (para os reservatórios de parede simples)</w:t>
                  </w:r>
                </w:p>
              </w:tc>
            </w:tr>
            <w:tr w:rsidR="006A383C" w14:paraId="36A98873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4C2E40B9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2.</w:t>
                  </w:r>
                </w:p>
              </w:tc>
              <w:tc>
                <w:tcPr>
                  <w:tcW w:w="9930" w:type="dxa"/>
                  <w:gridSpan w:val="2"/>
                </w:tcPr>
                <w:p w14:paraId="2575E39B" w14:textId="2ACB929E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D41868">
                    <w:rPr>
                      <w:sz w:val="16"/>
                      <w:szCs w:val="18"/>
                      <w:u w:val="single"/>
                    </w:rPr>
                    <w:t>Declaração</w:t>
                  </w:r>
                  <w:r w:rsidRPr="00876FAA">
                    <w:rPr>
                      <w:sz w:val="16"/>
                      <w:szCs w:val="18"/>
                    </w:rPr>
                    <w:t xml:space="preserve"> como</w:t>
                  </w:r>
                  <w:r w:rsidR="00BC3EFF">
                    <w:rPr>
                      <w:sz w:val="16"/>
                      <w:szCs w:val="18"/>
                    </w:rPr>
                    <w:t xml:space="preserve"> a instalação elétrica do posto de abastecimento de combustíveis está em conformidade com toda a regulamentação em vigor, garantindo a devida proteção de pessoas e bens em toda a instalação elétrica, </w:t>
                  </w:r>
                  <w:r w:rsidRPr="00876FAA">
                    <w:rPr>
                      <w:sz w:val="16"/>
                      <w:szCs w:val="18"/>
                    </w:rPr>
                    <w:t xml:space="preserve">uma eficaz continuidade de todos os elementos condutores do posto de abastecimento de combustíveis ou armazenagens de produtos de petróleo, por meio de ligações equipotenciais </w:t>
                  </w:r>
                  <w:r w:rsidR="006C4600">
                    <w:rPr>
                      <w:sz w:val="16"/>
                      <w:szCs w:val="18"/>
                    </w:rPr>
                    <w:t>e</w:t>
                  </w:r>
                  <w:r w:rsidRPr="00876FAA">
                    <w:rPr>
                      <w:sz w:val="16"/>
                      <w:szCs w:val="18"/>
                    </w:rPr>
                    <w:t xml:space="preserve"> valor da resistência de contacto da ligação de terra com valor inferior a 10 Ω.</w:t>
                  </w:r>
                </w:p>
              </w:tc>
            </w:tr>
            <w:tr w:rsidR="006A383C" w14:paraId="5DC95C0B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20E48722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3.</w:t>
                  </w:r>
                </w:p>
              </w:tc>
              <w:tc>
                <w:tcPr>
                  <w:tcW w:w="9930" w:type="dxa"/>
                  <w:gridSpan w:val="2"/>
                </w:tcPr>
                <w:p w14:paraId="7A20F7A5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D41868">
                    <w:rPr>
                      <w:sz w:val="16"/>
                      <w:szCs w:val="18"/>
                      <w:u w:val="single"/>
                    </w:rPr>
                    <w:t>Comprovativo</w:t>
                  </w:r>
                  <w:r w:rsidRPr="00876FAA">
                    <w:rPr>
                      <w:sz w:val="16"/>
                      <w:szCs w:val="18"/>
                    </w:rPr>
                    <w:t xml:space="preserve"> de limpeza do separador de hidrocarbonetos</w:t>
                  </w:r>
                </w:p>
              </w:tc>
            </w:tr>
            <w:tr w:rsidR="006A383C" w14:paraId="07437966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10DCE971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4.</w:t>
                  </w:r>
                </w:p>
              </w:tc>
              <w:tc>
                <w:tcPr>
                  <w:tcW w:w="9930" w:type="dxa"/>
                  <w:gridSpan w:val="2"/>
                </w:tcPr>
                <w:p w14:paraId="05F4468E" w14:textId="77777777" w:rsidR="006A383C" w:rsidRPr="00876FAA" w:rsidRDefault="006A383C" w:rsidP="00AD168D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  <w:u w:val="single"/>
                    </w:rPr>
                    <w:t>Relatório</w:t>
                  </w:r>
                  <w:r w:rsidRPr="00876FAA">
                    <w:rPr>
                      <w:sz w:val="16"/>
                      <w:szCs w:val="18"/>
                    </w:rPr>
                    <w:t xml:space="preserve"> referente à eficácia da captura de vapores de gasolina (Se o posto </w:t>
                  </w:r>
                  <w:r w:rsidRPr="00876FAA">
                    <w:rPr>
                      <w:sz w:val="16"/>
                      <w:szCs w:val="18"/>
                      <w:u w:val="single"/>
                    </w:rPr>
                    <w:t>está equipado</w:t>
                  </w:r>
                  <w:r w:rsidRPr="00876FAA">
                    <w:rPr>
                      <w:sz w:val="16"/>
                      <w:szCs w:val="18"/>
                    </w:rPr>
                    <w:t xml:space="preserve"> com um sistema de fase II de recuperação de vapores de gasolina)</w:t>
                  </w:r>
                  <w:r w:rsidR="0012432E">
                    <w:rPr>
                      <w:rStyle w:val="Refdenotaderodap"/>
                      <w:sz w:val="16"/>
                      <w:szCs w:val="18"/>
                    </w:rPr>
                    <w:footnoteReference w:id="2"/>
                  </w:r>
                </w:p>
              </w:tc>
            </w:tr>
            <w:tr w:rsidR="006A383C" w14:paraId="4BBF151E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4295004B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5.</w:t>
                  </w:r>
                </w:p>
              </w:tc>
              <w:tc>
                <w:tcPr>
                  <w:tcW w:w="9930" w:type="dxa"/>
                  <w:gridSpan w:val="2"/>
                </w:tcPr>
                <w:p w14:paraId="69390699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  <w:u w:val="single"/>
                    </w:rPr>
                    <w:t>Declaração</w:t>
                  </w:r>
                  <w:r w:rsidRPr="00876FAA">
                    <w:rPr>
                      <w:sz w:val="16"/>
                      <w:szCs w:val="18"/>
                    </w:rPr>
                    <w:t xml:space="preserve"> informando que o posto de abastecimento de combustíveis não possui o sistema de fase II de recuperação de vapores de gasolinas, no entanto o caudal efetivo </w:t>
                  </w:r>
                  <w:r w:rsidRPr="00876FAA">
                    <w:rPr>
                      <w:b/>
                      <w:sz w:val="16"/>
                      <w:szCs w:val="18"/>
                    </w:rPr>
                    <w:t>não excede 500 m</w:t>
                  </w:r>
                  <w:r w:rsidRPr="00876FAA">
                    <w:rPr>
                      <w:b/>
                      <w:sz w:val="16"/>
                      <w:szCs w:val="18"/>
                      <w:vertAlign w:val="superscript"/>
                    </w:rPr>
                    <w:t>3</w:t>
                  </w:r>
                  <w:r w:rsidRPr="00876FAA">
                    <w:rPr>
                      <w:b/>
                      <w:sz w:val="16"/>
                      <w:szCs w:val="18"/>
                    </w:rPr>
                    <w:t>/ano</w:t>
                  </w:r>
                  <w:r w:rsidRPr="00876FAA">
                    <w:rPr>
                      <w:sz w:val="16"/>
                      <w:szCs w:val="18"/>
                    </w:rPr>
                    <w:t>, nos termos da alínea a) do n.º 1 do artigo 3.º do Decreto-lei n.º 90/2012, de 11 de abril, alterado pelo Decreto-Lei n.º 50/2016, de 23 de abril</w:t>
                  </w:r>
                  <w:r>
                    <w:rPr>
                      <w:sz w:val="16"/>
                      <w:szCs w:val="18"/>
                    </w:rPr>
                    <w:t>.</w:t>
                  </w:r>
                  <w:r w:rsidR="0012432E" w:rsidRPr="0012432E">
                    <w:rPr>
                      <w:sz w:val="16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6A383C" w14:paraId="4BC0EC7B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7C99EB33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6.</w:t>
                  </w:r>
                </w:p>
              </w:tc>
              <w:tc>
                <w:tcPr>
                  <w:tcW w:w="9930" w:type="dxa"/>
                  <w:gridSpan w:val="2"/>
                </w:tcPr>
                <w:p w14:paraId="37E0F26C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  <w:u w:val="single"/>
                    </w:rPr>
                    <w:t>Declaração</w:t>
                  </w:r>
                  <w:r w:rsidRPr="00876FAA">
                    <w:rPr>
                      <w:sz w:val="16"/>
                      <w:szCs w:val="18"/>
                    </w:rPr>
                    <w:t xml:space="preserve"> informando que o posto de abastecimento de combustíveis não possui o sistema de fase II de recuperação de vapores de gasolinas, no entanto o posto não sofreu uma renovação substancial, que tenha incidido sobre os reservatórios, tubagens e unidades de abastecimento, e o caudal efetivo</w:t>
                  </w:r>
                  <w:r w:rsidR="00D97252">
                    <w:rPr>
                      <w:sz w:val="16"/>
                      <w:szCs w:val="18"/>
                    </w:rPr>
                    <w:t xml:space="preserve"> está</w:t>
                  </w:r>
                  <w:r w:rsidRPr="00876FAA">
                    <w:rPr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8"/>
                    </w:rPr>
                    <w:t>entre 500</w:t>
                  </w:r>
                  <w:r w:rsidRPr="00876FAA">
                    <w:rPr>
                      <w:b/>
                      <w:sz w:val="16"/>
                      <w:szCs w:val="18"/>
                    </w:rPr>
                    <w:t xml:space="preserve"> m</w:t>
                  </w:r>
                  <w:r w:rsidRPr="00876FAA">
                    <w:rPr>
                      <w:b/>
                      <w:sz w:val="16"/>
                      <w:szCs w:val="18"/>
                      <w:vertAlign w:val="superscript"/>
                    </w:rPr>
                    <w:t>3</w:t>
                  </w:r>
                  <w:r w:rsidRPr="00876FAA">
                    <w:rPr>
                      <w:b/>
                      <w:sz w:val="16"/>
                      <w:szCs w:val="18"/>
                    </w:rPr>
                    <w:t xml:space="preserve">/ano  </w:t>
                  </w:r>
                  <w:r>
                    <w:rPr>
                      <w:b/>
                      <w:sz w:val="16"/>
                      <w:szCs w:val="18"/>
                    </w:rPr>
                    <w:t xml:space="preserve">e </w:t>
                  </w:r>
                  <w:r w:rsidRPr="00876FAA">
                    <w:rPr>
                      <w:b/>
                      <w:sz w:val="16"/>
                      <w:szCs w:val="18"/>
                    </w:rPr>
                    <w:t>3000 m</w:t>
                  </w:r>
                  <w:r w:rsidRPr="00876FAA">
                    <w:rPr>
                      <w:b/>
                      <w:sz w:val="16"/>
                      <w:szCs w:val="18"/>
                      <w:vertAlign w:val="superscript"/>
                    </w:rPr>
                    <w:t>3</w:t>
                  </w:r>
                  <w:r w:rsidRPr="00876FAA">
                    <w:rPr>
                      <w:b/>
                      <w:sz w:val="16"/>
                      <w:szCs w:val="18"/>
                    </w:rPr>
                    <w:t>/ano</w:t>
                  </w:r>
                  <w:r w:rsidRPr="00876FAA">
                    <w:rPr>
                      <w:sz w:val="16"/>
                      <w:szCs w:val="18"/>
                    </w:rPr>
                    <w:t>, nos termos do alínea a) do n.º 1 e do n.º 2 do artigo 3.º do Decreto-lei n.º 90/2012, de 11 de abril, alterado pelo Decreto-Lei n.º 50/2016, de 23 de abril.</w:t>
                  </w:r>
                  <w:r w:rsidR="0012432E" w:rsidRPr="0012432E">
                    <w:rPr>
                      <w:sz w:val="16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6A383C" w14:paraId="29464121" w14:textId="77777777" w:rsidTr="006A38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433CFCF4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7.</w:t>
                  </w:r>
                </w:p>
              </w:tc>
              <w:tc>
                <w:tcPr>
                  <w:tcW w:w="9930" w:type="dxa"/>
                  <w:gridSpan w:val="2"/>
                </w:tcPr>
                <w:p w14:paraId="15C1076B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line="360" w:lineRule="auto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D41868">
                    <w:rPr>
                      <w:sz w:val="16"/>
                      <w:szCs w:val="18"/>
                      <w:u w:val="single"/>
                    </w:rPr>
                    <w:t>Seguro de responsabilidade civil</w:t>
                  </w:r>
                  <w:r w:rsidRPr="00876FAA">
                    <w:rPr>
                      <w:sz w:val="16"/>
                      <w:szCs w:val="18"/>
                    </w:rPr>
                    <w:t xml:space="preserve"> em nome do titular da licença de exploração, destinado a cobrir os riscos associados à respetiva atividade</w:t>
                  </w:r>
                </w:p>
              </w:tc>
            </w:tr>
            <w:tr w:rsidR="006A383C" w14:paraId="74E72782" w14:textId="77777777" w:rsidTr="0012432E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" w:type="dxa"/>
                </w:tcPr>
                <w:p w14:paraId="073D5DBE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uppressOverlap/>
                    <w:rPr>
                      <w:sz w:val="16"/>
                      <w:szCs w:val="18"/>
                    </w:rPr>
                  </w:pPr>
                  <w:r w:rsidRPr="00876FAA">
                    <w:rPr>
                      <w:sz w:val="16"/>
                      <w:szCs w:val="18"/>
                    </w:rPr>
                    <w:t>8.</w:t>
                  </w:r>
                </w:p>
              </w:tc>
              <w:tc>
                <w:tcPr>
                  <w:tcW w:w="9930" w:type="dxa"/>
                  <w:gridSpan w:val="2"/>
                </w:tcPr>
                <w:p w14:paraId="5841F1D4" w14:textId="77777777" w:rsidR="006A383C" w:rsidRPr="00876FAA" w:rsidRDefault="006A383C" w:rsidP="00876FAA">
                  <w:pPr>
                    <w:framePr w:hSpace="141" w:wrap="around" w:vAnchor="text" w:hAnchor="text" w:y="1"/>
                    <w:tabs>
                      <w:tab w:val="left" w:pos="1061"/>
                      <w:tab w:val="left" w:pos="1062"/>
                    </w:tabs>
                    <w:spacing w:before="17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</w:rPr>
                  </w:pPr>
                  <w:r w:rsidRPr="00D41868">
                    <w:rPr>
                      <w:sz w:val="16"/>
                      <w:szCs w:val="18"/>
                      <w:u w:val="single"/>
                    </w:rPr>
                    <w:t>Pa</w:t>
                  </w:r>
                  <w:r w:rsidR="0012432E">
                    <w:rPr>
                      <w:sz w:val="16"/>
                      <w:szCs w:val="18"/>
                      <w:u w:val="single"/>
                    </w:rPr>
                    <w:t>ga</w:t>
                  </w:r>
                  <w:r w:rsidRPr="00D41868">
                    <w:rPr>
                      <w:sz w:val="16"/>
                      <w:szCs w:val="18"/>
                      <w:u w:val="single"/>
                    </w:rPr>
                    <w:t>mento da taxa</w:t>
                  </w:r>
                  <w:r w:rsidRPr="00876FAA">
                    <w:rPr>
                      <w:sz w:val="16"/>
                      <w:szCs w:val="18"/>
                    </w:rPr>
                    <w:t xml:space="preserve"> de inspeção periódica ou de </w:t>
                  </w:r>
                  <w:r>
                    <w:rPr>
                      <w:sz w:val="16"/>
                      <w:szCs w:val="18"/>
                    </w:rPr>
                    <w:t>reinspecção.</w:t>
                  </w:r>
                </w:p>
              </w:tc>
            </w:tr>
          </w:tbl>
          <w:p w14:paraId="62E389BB" w14:textId="77777777" w:rsidR="003804C9" w:rsidRPr="009C1493" w:rsidRDefault="003804C9" w:rsidP="00AD168D">
            <w:pPr>
              <w:pStyle w:val="PargrafodaLista"/>
              <w:numPr>
                <w:ilvl w:val="0"/>
                <w:numId w:val="1"/>
              </w:numPr>
              <w:tabs>
                <w:tab w:val="left" w:pos="1061"/>
                <w:tab w:val="left" w:pos="1062"/>
              </w:tabs>
              <w:spacing w:before="17"/>
              <w:ind w:left="1061" w:hanging="347"/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632B031D" w14:textId="77777777" w:rsidR="003804C9" w:rsidRPr="000831C6" w:rsidRDefault="00AD168D" w:rsidP="00AD168D">
      <w:pPr>
        <w:tabs>
          <w:tab w:val="left" w:pos="10206"/>
        </w:tabs>
        <w:spacing w:line="360" w:lineRule="auto"/>
        <w:ind w:right="698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14:paraId="04236E18" w14:textId="77777777" w:rsidR="003804C9" w:rsidRDefault="003804C9" w:rsidP="00D41868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Pede deferimento</w:t>
      </w:r>
      <w:r w:rsidR="00AD168D">
        <w:rPr>
          <w:sz w:val="20"/>
          <w:szCs w:val="20"/>
        </w:rPr>
        <w:t>,</w:t>
      </w:r>
    </w:p>
    <w:p w14:paraId="5E433A2D" w14:textId="77777777" w:rsidR="003804C9" w:rsidRPr="00D41868" w:rsidRDefault="003804C9" w:rsidP="00AD168D">
      <w:pPr>
        <w:adjustRightInd w:val="0"/>
        <w:spacing w:line="360" w:lineRule="auto"/>
        <w:ind w:left="360"/>
        <w:rPr>
          <w:sz w:val="10"/>
          <w:szCs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3804C9" w:rsidRPr="00882953" w14:paraId="6EE57308" w14:textId="77777777" w:rsidTr="00D41868">
        <w:tc>
          <w:tcPr>
            <w:tcW w:w="10065" w:type="dxa"/>
            <w:shd w:val="clear" w:color="auto" w:fill="auto"/>
          </w:tcPr>
          <w:p w14:paraId="3F8510E2" w14:textId="1F967CD6" w:rsidR="003804C9" w:rsidRPr="00882953" w:rsidRDefault="003804C9" w:rsidP="00CD20DC">
            <w:pPr>
              <w:pStyle w:val="Textodecomentrio"/>
              <w:ind w:left="-105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="00CD20DC"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</w:rPr>
              <w:t xml:space="preserve">O Requerente: 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20DC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CD20DC">
              <w:rPr>
                <w:rFonts w:ascii="Tahoma" w:hAnsi="Tahoma" w:cs="Tahoma"/>
                <w:i/>
                <w:lang w:val="es-ES_tradnl"/>
              </w:rPr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CD20DC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20DC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CD20DC">
              <w:rPr>
                <w:rFonts w:ascii="Tahoma" w:hAnsi="Tahoma" w:cs="Tahoma"/>
                <w:i/>
                <w:lang w:val="es-ES_tradnl"/>
              </w:rPr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CD20DC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20DC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CD20DC">
              <w:rPr>
                <w:rFonts w:ascii="Tahoma" w:hAnsi="Tahoma" w:cs="Tahoma"/>
                <w:i/>
                <w:lang w:val="es-ES_tradnl"/>
              </w:rPr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CD20DC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20DC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CD20DC">
              <w:rPr>
                <w:rFonts w:ascii="Tahoma" w:hAnsi="Tahoma" w:cs="Tahoma"/>
                <w:i/>
                <w:lang w:val="es-ES_tradnl"/>
              </w:rPr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CD20DC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20DC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CD20DC">
              <w:rPr>
                <w:rFonts w:ascii="Tahoma" w:hAnsi="Tahoma" w:cs="Tahoma"/>
                <w:i/>
                <w:lang w:val="es-ES_tradnl"/>
              </w:rPr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CD20DC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CD20DC"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</w:tc>
      </w:tr>
    </w:tbl>
    <w:p w14:paraId="737AFE4D" w14:textId="77777777" w:rsidR="003804C9" w:rsidRPr="00D41868" w:rsidRDefault="003804C9" w:rsidP="0012432E">
      <w:pPr>
        <w:adjustRightInd w:val="0"/>
        <w:spacing w:line="360" w:lineRule="auto"/>
        <w:jc w:val="both"/>
        <w:rPr>
          <w:sz w:val="12"/>
          <w:szCs w:val="20"/>
        </w:rPr>
      </w:pPr>
    </w:p>
    <w:sectPr w:rsidR="003804C9" w:rsidRPr="00D41868" w:rsidSect="00D41868">
      <w:headerReference w:type="default" r:id="rId7"/>
      <w:headerReference w:type="first" r:id="rId8"/>
      <w:footerReference w:type="first" r:id="rId9"/>
      <w:type w:val="continuous"/>
      <w:pgSz w:w="12240" w:h="15840"/>
      <w:pgMar w:top="640" w:right="1183" w:bottom="280" w:left="720" w:header="72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AC09" w14:textId="77777777" w:rsidR="00D417BE" w:rsidRDefault="00D417BE" w:rsidP="00A911EF">
      <w:r>
        <w:separator/>
      </w:r>
    </w:p>
  </w:endnote>
  <w:endnote w:type="continuationSeparator" w:id="0">
    <w:p w14:paraId="43544A3A" w14:textId="77777777" w:rsidR="00D417BE" w:rsidRDefault="00D417BE" w:rsidP="00A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4FB1" w14:textId="35CA0C55" w:rsidR="00D41868" w:rsidRPr="00D41868" w:rsidRDefault="00D41868" w:rsidP="00D41868">
    <w:pPr>
      <w:pStyle w:val="Rodap"/>
      <w:jc w:val="right"/>
      <w:rPr>
        <w:sz w:val="16"/>
        <w:szCs w:val="16"/>
      </w:rPr>
    </w:pPr>
    <w:proofErr w:type="spellStart"/>
    <w:r w:rsidRPr="00D41868">
      <w:rPr>
        <w:sz w:val="16"/>
        <w:szCs w:val="16"/>
      </w:rPr>
      <w:t>Imp</w:t>
    </w:r>
    <w:proofErr w:type="spellEnd"/>
    <w:r w:rsidRPr="00D41868">
      <w:rPr>
        <w:sz w:val="16"/>
        <w:szCs w:val="16"/>
      </w:rPr>
      <w:t xml:space="preserve"> </w:t>
    </w:r>
    <w:r w:rsidR="00CD20DC">
      <w:rPr>
        <w:sz w:val="16"/>
        <w:szCs w:val="16"/>
      </w:rPr>
      <w:t>DREN 12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A0A3" w14:textId="77777777" w:rsidR="00D417BE" w:rsidRDefault="00D417BE" w:rsidP="00A911EF">
      <w:r>
        <w:separator/>
      </w:r>
    </w:p>
  </w:footnote>
  <w:footnote w:type="continuationSeparator" w:id="0">
    <w:p w14:paraId="6574D14E" w14:textId="77777777" w:rsidR="00D417BE" w:rsidRDefault="00D417BE" w:rsidP="00A911EF">
      <w:r>
        <w:continuationSeparator/>
      </w:r>
    </w:p>
  </w:footnote>
  <w:footnote w:id="1">
    <w:p w14:paraId="780C31C2" w14:textId="77777777" w:rsidR="006A383C" w:rsidRPr="00CD20DC" w:rsidRDefault="006A383C">
      <w:pPr>
        <w:pStyle w:val="Textodenotaderodap"/>
        <w:rPr>
          <w:sz w:val="16"/>
          <w:szCs w:val="16"/>
        </w:rPr>
      </w:pPr>
      <w:r w:rsidRPr="00CD20DC">
        <w:rPr>
          <w:rStyle w:val="Refdenotaderodap"/>
          <w:sz w:val="16"/>
          <w:szCs w:val="16"/>
        </w:rPr>
        <w:footnoteRef/>
      </w:r>
      <w:r w:rsidRPr="00CD20DC">
        <w:rPr>
          <w:sz w:val="16"/>
          <w:szCs w:val="16"/>
        </w:rPr>
        <w:t xml:space="preserve"> Em caso de reinspecção apenas se aplica o ponto 8, pagamento da taxa.</w:t>
      </w:r>
    </w:p>
  </w:footnote>
  <w:footnote w:id="2">
    <w:p w14:paraId="06DDD7D1" w14:textId="77777777" w:rsidR="0012432E" w:rsidRDefault="0012432E" w:rsidP="0012432E">
      <w:pPr>
        <w:pStyle w:val="Textodenotaderodap"/>
      </w:pPr>
      <w:r w:rsidRPr="00CD20DC">
        <w:rPr>
          <w:rStyle w:val="Refdenotaderodap"/>
          <w:sz w:val="16"/>
          <w:szCs w:val="16"/>
        </w:rPr>
        <w:footnoteRef/>
      </w:r>
      <w:r w:rsidRPr="00CD20DC">
        <w:rPr>
          <w:sz w:val="16"/>
          <w:szCs w:val="16"/>
        </w:rPr>
        <w:t xml:space="preserve"> Apenas se aplica a postos de abastecimento de combustíveis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1C4" w14:textId="77777777" w:rsidR="00A911EF" w:rsidRPr="000201E0" w:rsidRDefault="00A911EF" w:rsidP="000201E0">
    <w:pPr>
      <w:pStyle w:val="Ttulo"/>
      <w:ind w:left="0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347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103"/>
    </w:tblGrid>
    <w:tr w:rsidR="00AD168D" w:rsidRPr="000201E0" w14:paraId="62C6E53D" w14:textId="77777777" w:rsidTr="00FE3968">
      <w:tc>
        <w:tcPr>
          <w:tcW w:w="5244" w:type="dxa"/>
        </w:tcPr>
        <w:p w14:paraId="3A74A68A" w14:textId="22CCD049" w:rsidR="00AD168D" w:rsidRDefault="00CD20DC" w:rsidP="00CD20DC">
          <w:pPr>
            <w:pStyle w:val="Ttulo"/>
            <w:ind w:left="0"/>
            <w:jc w:val="lef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65F4202" wp14:editId="2808E68A">
                <wp:extent cx="3043451" cy="827918"/>
                <wp:effectExtent l="0" t="0" r="0" b="0"/>
                <wp:docPr id="1" name="Imagem 1" descr="Uma imagem com texto, Tipo de letra, captura de ecrã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Tipo de letra, captura de ecrã, Gráficos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070" cy="836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2825BFB8" w14:textId="77777777" w:rsidR="00AD168D" w:rsidRDefault="00AD168D" w:rsidP="00AD168D">
          <w:pPr>
            <w:pStyle w:val="Ttulo"/>
            <w:ind w:left="0"/>
            <w:rPr>
              <w:sz w:val="22"/>
              <w:szCs w:val="22"/>
            </w:rPr>
          </w:pPr>
          <w:r w:rsidRPr="00FB02B7">
            <w:rPr>
              <w:sz w:val="22"/>
              <w:szCs w:val="22"/>
            </w:rPr>
            <w:t>PEDIDO</w:t>
          </w:r>
          <w:r w:rsidRPr="00FB02B7">
            <w:rPr>
              <w:spacing w:val="-1"/>
              <w:sz w:val="22"/>
              <w:szCs w:val="22"/>
            </w:rPr>
            <w:t xml:space="preserve"> </w:t>
          </w:r>
          <w:r>
            <w:rPr>
              <w:spacing w:val="-1"/>
              <w:sz w:val="22"/>
              <w:szCs w:val="22"/>
            </w:rPr>
            <w:t xml:space="preserve">DE </w:t>
          </w:r>
          <w:r w:rsidRPr="00FB02B7">
            <w:rPr>
              <w:sz w:val="22"/>
              <w:szCs w:val="22"/>
            </w:rPr>
            <w:t xml:space="preserve">INSPEÇÃO </w:t>
          </w:r>
          <w:r>
            <w:rPr>
              <w:sz w:val="22"/>
              <w:szCs w:val="22"/>
            </w:rPr>
            <w:t>P</w:t>
          </w:r>
          <w:r w:rsidRPr="00FB02B7">
            <w:rPr>
              <w:sz w:val="22"/>
              <w:szCs w:val="22"/>
            </w:rPr>
            <w:t xml:space="preserve">ERIÓDICA </w:t>
          </w:r>
        </w:p>
        <w:p w14:paraId="4B38C98A" w14:textId="77777777" w:rsidR="00AD168D" w:rsidRDefault="00AD168D" w:rsidP="00AD168D">
          <w:pPr>
            <w:spacing w:line="364" w:lineRule="auto"/>
            <w:ind w:right="109"/>
            <w:jc w:val="center"/>
            <w:rPr>
              <w:sz w:val="16"/>
            </w:rPr>
          </w:pPr>
        </w:p>
        <w:p w14:paraId="5C9888D9" w14:textId="77777777" w:rsidR="00AD168D" w:rsidRPr="000201E0" w:rsidRDefault="00AD168D" w:rsidP="00AD168D">
          <w:pPr>
            <w:spacing w:line="364" w:lineRule="auto"/>
            <w:ind w:right="109"/>
            <w:jc w:val="center"/>
            <w:rPr>
              <w:sz w:val="16"/>
            </w:rPr>
          </w:pPr>
          <w:r>
            <w:rPr>
              <w:sz w:val="16"/>
            </w:rPr>
            <w:t>(artigo</w:t>
          </w:r>
          <w:r>
            <w:rPr>
              <w:spacing w:val="-6"/>
              <w:sz w:val="16"/>
            </w:rPr>
            <w:t xml:space="preserve"> </w:t>
          </w:r>
          <w:r>
            <w:rPr>
              <w:sz w:val="16"/>
            </w:rPr>
            <w:t>19º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do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Decreto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Legislativo</w:t>
          </w:r>
          <w:r>
            <w:rPr>
              <w:spacing w:val="2"/>
              <w:sz w:val="16"/>
            </w:rPr>
            <w:t xml:space="preserve"> </w:t>
          </w:r>
          <w:r>
            <w:rPr>
              <w:sz w:val="16"/>
            </w:rPr>
            <w:t>Regional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n.º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21/2012/M,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de</w:t>
          </w:r>
          <w:r>
            <w:rPr>
              <w:spacing w:val="-8"/>
              <w:sz w:val="16"/>
            </w:rPr>
            <w:t xml:space="preserve"> </w:t>
          </w:r>
          <w:r>
            <w:rPr>
              <w:sz w:val="16"/>
            </w:rPr>
            <w:t>29 de agosto)</w:t>
          </w:r>
        </w:p>
      </w:tc>
    </w:tr>
  </w:tbl>
  <w:p w14:paraId="03555165" w14:textId="77777777" w:rsidR="00AD168D" w:rsidRPr="00D41868" w:rsidRDefault="00AD168D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323C8"/>
    <w:multiLevelType w:val="hybridMultilevel"/>
    <w:tmpl w:val="C71E3BEC"/>
    <w:lvl w:ilvl="0" w:tplc="0816000F">
      <w:start w:val="1"/>
      <w:numFmt w:val="decimal"/>
      <w:lvlText w:val="%1."/>
      <w:lvlJc w:val="left"/>
      <w:pPr>
        <w:ind w:left="1075" w:hanging="346"/>
      </w:pPr>
      <w:rPr>
        <w:rFonts w:hint="default"/>
        <w:w w:val="100"/>
        <w:sz w:val="20"/>
        <w:szCs w:val="20"/>
        <w:lang w:val="pt-PT" w:eastAsia="en-US" w:bidi="ar-SA"/>
      </w:rPr>
    </w:lvl>
    <w:lvl w:ilvl="1" w:tplc="4752A49C">
      <w:numFmt w:val="bullet"/>
      <w:lvlText w:val="•"/>
      <w:lvlJc w:val="left"/>
      <w:pPr>
        <w:ind w:left="2034" w:hanging="346"/>
      </w:pPr>
      <w:rPr>
        <w:rFonts w:hint="default"/>
        <w:lang w:val="pt-PT" w:eastAsia="en-US" w:bidi="ar-SA"/>
      </w:rPr>
    </w:lvl>
    <w:lvl w:ilvl="2" w:tplc="7D8CF3C2">
      <w:numFmt w:val="bullet"/>
      <w:lvlText w:val="•"/>
      <w:lvlJc w:val="left"/>
      <w:pPr>
        <w:ind w:left="2988" w:hanging="346"/>
      </w:pPr>
      <w:rPr>
        <w:rFonts w:hint="default"/>
        <w:lang w:val="pt-PT" w:eastAsia="en-US" w:bidi="ar-SA"/>
      </w:rPr>
    </w:lvl>
    <w:lvl w:ilvl="3" w:tplc="DFEC1A6C">
      <w:numFmt w:val="bullet"/>
      <w:lvlText w:val="•"/>
      <w:lvlJc w:val="left"/>
      <w:pPr>
        <w:ind w:left="3942" w:hanging="346"/>
      </w:pPr>
      <w:rPr>
        <w:rFonts w:hint="default"/>
        <w:lang w:val="pt-PT" w:eastAsia="en-US" w:bidi="ar-SA"/>
      </w:rPr>
    </w:lvl>
    <w:lvl w:ilvl="4" w:tplc="08A04396">
      <w:numFmt w:val="bullet"/>
      <w:lvlText w:val="•"/>
      <w:lvlJc w:val="left"/>
      <w:pPr>
        <w:ind w:left="4896" w:hanging="346"/>
      </w:pPr>
      <w:rPr>
        <w:rFonts w:hint="default"/>
        <w:lang w:val="pt-PT" w:eastAsia="en-US" w:bidi="ar-SA"/>
      </w:rPr>
    </w:lvl>
    <w:lvl w:ilvl="5" w:tplc="477E319C">
      <w:numFmt w:val="bullet"/>
      <w:lvlText w:val="•"/>
      <w:lvlJc w:val="left"/>
      <w:pPr>
        <w:ind w:left="5850" w:hanging="346"/>
      </w:pPr>
      <w:rPr>
        <w:rFonts w:hint="default"/>
        <w:lang w:val="pt-PT" w:eastAsia="en-US" w:bidi="ar-SA"/>
      </w:rPr>
    </w:lvl>
    <w:lvl w:ilvl="6" w:tplc="BDFCE5FA">
      <w:numFmt w:val="bullet"/>
      <w:lvlText w:val="•"/>
      <w:lvlJc w:val="left"/>
      <w:pPr>
        <w:ind w:left="6804" w:hanging="346"/>
      </w:pPr>
      <w:rPr>
        <w:rFonts w:hint="default"/>
        <w:lang w:val="pt-PT" w:eastAsia="en-US" w:bidi="ar-SA"/>
      </w:rPr>
    </w:lvl>
    <w:lvl w:ilvl="7" w:tplc="2CF64F4E">
      <w:numFmt w:val="bullet"/>
      <w:lvlText w:val="•"/>
      <w:lvlJc w:val="left"/>
      <w:pPr>
        <w:ind w:left="7758" w:hanging="346"/>
      </w:pPr>
      <w:rPr>
        <w:rFonts w:hint="default"/>
        <w:lang w:val="pt-PT" w:eastAsia="en-US" w:bidi="ar-SA"/>
      </w:rPr>
    </w:lvl>
    <w:lvl w:ilvl="8" w:tplc="E8A45C5A">
      <w:numFmt w:val="bullet"/>
      <w:lvlText w:val="•"/>
      <w:lvlJc w:val="left"/>
      <w:pPr>
        <w:ind w:left="8712" w:hanging="346"/>
      </w:pPr>
      <w:rPr>
        <w:rFonts w:hint="default"/>
        <w:lang w:val="pt-PT" w:eastAsia="en-US" w:bidi="ar-SA"/>
      </w:rPr>
    </w:lvl>
  </w:abstractNum>
  <w:abstractNum w:abstractNumId="2" w15:restartNumberingAfterBreak="0">
    <w:nsid w:val="73CF2B5B"/>
    <w:multiLevelType w:val="hybridMultilevel"/>
    <w:tmpl w:val="336AF6AE"/>
    <w:lvl w:ilvl="0" w:tplc="1774201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2955">
    <w:abstractNumId w:val="1"/>
  </w:num>
  <w:num w:numId="2" w16cid:durableId="1671444389">
    <w:abstractNumId w:val="0"/>
  </w:num>
  <w:num w:numId="3" w16cid:durableId="125458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D"/>
    <w:rsid w:val="000135AD"/>
    <w:rsid w:val="000201E0"/>
    <w:rsid w:val="00057F28"/>
    <w:rsid w:val="000F2B59"/>
    <w:rsid w:val="0012432E"/>
    <w:rsid w:val="001B0431"/>
    <w:rsid w:val="001B78AF"/>
    <w:rsid w:val="002A421D"/>
    <w:rsid w:val="003804C9"/>
    <w:rsid w:val="0063376A"/>
    <w:rsid w:val="006A1E71"/>
    <w:rsid w:val="006A383C"/>
    <w:rsid w:val="006B7F9D"/>
    <w:rsid w:val="006C4600"/>
    <w:rsid w:val="00730624"/>
    <w:rsid w:val="00876FAA"/>
    <w:rsid w:val="00A911EF"/>
    <w:rsid w:val="00A92113"/>
    <w:rsid w:val="00AD0609"/>
    <w:rsid w:val="00AD168D"/>
    <w:rsid w:val="00B036FE"/>
    <w:rsid w:val="00BC3EFF"/>
    <w:rsid w:val="00C01903"/>
    <w:rsid w:val="00CD20DC"/>
    <w:rsid w:val="00D40BB9"/>
    <w:rsid w:val="00D417BE"/>
    <w:rsid w:val="00D41868"/>
    <w:rsid w:val="00D61C34"/>
    <w:rsid w:val="00D97252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C787D"/>
  <w15:docId w15:val="{AFB7E33C-3DF3-4FD2-A4D8-CAD22A9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355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0"/>
      <w:ind w:left="5666" w:right="8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0"/>
      <w:ind w:left="1061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A911E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11EF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911E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11EF"/>
    <w:rPr>
      <w:rFonts w:ascii="Tahoma" w:eastAsia="Tahoma" w:hAnsi="Tahoma" w:cs="Tahoma"/>
      <w:lang w:val="pt-PT"/>
    </w:rPr>
  </w:style>
  <w:style w:type="table" w:styleId="TabelacomGrelha">
    <w:name w:val="Table Grid"/>
    <w:basedOn w:val="Tabelanormal"/>
    <w:uiPriority w:val="39"/>
    <w:rsid w:val="00A9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rsid w:val="003804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804C9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deGrelha1Clara">
    <w:name w:val="Grid Table 1 Light"/>
    <w:basedOn w:val="Tabelanormal"/>
    <w:uiPriority w:val="46"/>
    <w:rsid w:val="000201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A383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A383C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3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REGISTO DE EQUIPAMENTO SOB PRESSÃO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REGISTO DE EQUIPAMENTO SOB PRESSÃO</dc:title>
  <dc:subject/>
  <dc:creator>Rodrigo</dc:creator>
  <cp:keywords/>
  <dc:description/>
  <cp:lastModifiedBy>Claudia Isabel da Silva Paixão Varela da Cunha</cp:lastModifiedBy>
  <cp:revision>14</cp:revision>
  <dcterms:created xsi:type="dcterms:W3CDTF">2022-09-13T10:32:00Z</dcterms:created>
  <dcterms:modified xsi:type="dcterms:W3CDTF">2024-03-15T12:01:00Z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